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color w:val="auto"/>
          <w:spacing w:val="100"/>
          <w:sz w:val="72"/>
          <w:szCs w:val="72"/>
          <w:highlight w:val="none"/>
        </w:rPr>
      </w:pPr>
    </w:p>
    <w:p>
      <w:pPr>
        <w:spacing w:line="900" w:lineRule="exact"/>
        <w:jc w:val="center"/>
        <w:rPr>
          <w:rFonts w:hint="eastAsia" w:ascii="新宋体" w:hAnsi="新宋体" w:eastAsia="新宋体" w:cs="新宋体"/>
          <w:b/>
          <w:bCs/>
          <w:color w:val="auto"/>
          <w:spacing w:val="140"/>
          <w:sz w:val="44"/>
          <w:szCs w:val="44"/>
          <w:highlight w:val="none"/>
        </w:rPr>
      </w:pPr>
      <w:r>
        <w:rPr>
          <w:rFonts w:hint="eastAsia" w:ascii="新宋体" w:hAnsi="新宋体" w:eastAsia="新宋体" w:cs="新宋体"/>
          <w:b/>
          <w:bCs/>
          <w:color w:val="auto"/>
          <w:spacing w:val="140"/>
          <w:sz w:val="44"/>
          <w:szCs w:val="44"/>
          <w:highlight w:val="none"/>
        </w:rPr>
        <w:t>温州医科大学附属口腔医院</w:t>
      </w:r>
    </w:p>
    <w:p>
      <w:pPr>
        <w:jc w:val="center"/>
        <w:rPr>
          <w:rFonts w:hint="eastAsia" w:ascii="新宋体" w:hAnsi="新宋体" w:eastAsia="新宋体" w:cs="新宋体"/>
          <w:b/>
          <w:bCs/>
          <w:color w:val="auto"/>
          <w:spacing w:val="140"/>
          <w:sz w:val="72"/>
          <w:highlight w:val="none"/>
        </w:rPr>
      </w:pPr>
    </w:p>
    <w:p>
      <w:pPr>
        <w:spacing w:line="900" w:lineRule="exact"/>
        <w:jc w:val="center"/>
        <w:rPr>
          <w:rFonts w:hint="eastAsia" w:ascii="新宋体" w:hAnsi="新宋体" w:eastAsia="新宋体" w:cs="新宋体"/>
          <w:b/>
          <w:bCs/>
          <w:color w:val="auto"/>
          <w:spacing w:val="140"/>
          <w:sz w:val="84"/>
          <w:szCs w:val="84"/>
          <w:highlight w:val="none"/>
        </w:rPr>
      </w:pPr>
    </w:p>
    <w:p>
      <w:pPr>
        <w:spacing w:line="900" w:lineRule="exact"/>
        <w:jc w:val="center"/>
        <w:rPr>
          <w:rFonts w:hint="eastAsia" w:ascii="新宋体" w:hAnsi="新宋体" w:eastAsia="新宋体" w:cs="新宋体"/>
          <w:b/>
          <w:bCs/>
          <w:color w:val="auto"/>
          <w:spacing w:val="140"/>
          <w:sz w:val="44"/>
          <w:szCs w:val="44"/>
          <w:highlight w:val="none"/>
        </w:rPr>
      </w:pPr>
      <w:r>
        <w:rPr>
          <w:rFonts w:hint="eastAsia" w:ascii="新宋体" w:hAnsi="新宋体" w:eastAsia="新宋体" w:cs="新宋体"/>
          <w:b/>
          <w:bCs/>
          <w:color w:val="auto"/>
          <w:spacing w:val="140"/>
          <w:sz w:val="44"/>
          <w:szCs w:val="44"/>
          <w:highlight w:val="none"/>
        </w:rPr>
        <w:t>竞争性磋商采购文件</w:t>
      </w:r>
    </w:p>
    <w:p>
      <w:pPr>
        <w:spacing w:line="600" w:lineRule="exact"/>
        <w:jc w:val="center"/>
        <w:rPr>
          <w:rFonts w:hint="eastAsia" w:ascii="新宋体" w:hAnsi="新宋体" w:eastAsia="新宋体" w:cs="新宋体"/>
          <w:b/>
          <w:bCs/>
          <w:color w:val="auto"/>
          <w:spacing w:val="140"/>
          <w:sz w:val="84"/>
          <w:szCs w:val="84"/>
          <w:highlight w:val="none"/>
        </w:rPr>
      </w:pPr>
    </w:p>
    <w:p>
      <w:pPr>
        <w:spacing w:line="400" w:lineRule="exact"/>
        <w:jc w:val="center"/>
        <w:rPr>
          <w:rFonts w:hint="eastAsia" w:ascii="新宋体" w:hAnsi="新宋体" w:eastAsia="新宋体" w:cs="新宋体"/>
          <w:b/>
          <w:bCs/>
          <w:color w:val="auto"/>
          <w:sz w:val="32"/>
          <w:szCs w:val="32"/>
          <w:highlight w:val="none"/>
        </w:rPr>
      </w:pPr>
    </w:p>
    <w:p>
      <w:pPr>
        <w:jc w:val="center"/>
        <w:rPr>
          <w:rFonts w:hint="eastAsia" w:ascii="新宋体" w:hAnsi="新宋体" w:eastAsia="新宋体" w:cs="新宋体"/>
          <w:color w:val="auto"/>
          <w:spacing w:val="40"/>
          <w:sz w:val="30"/>
          <w:szCs w:val="30"/>
          <w:highlight w:val="none"/>
        </w:rPr>
      </w:pPr>
    </w:p>
    <w:p>
      <w:pPr>
        <w:jc w:val="center"/>
        <w:rPr>
          <w:rFonts w:hint="eastAsia" w:ascii="新宋体" w:hAnsi="新宋体" w:eastAsia="新宋体" w:cs="新宋体"/>
          <w:color w:val="auto"/>
          <w:spacing w:val="40"/>
          <w:sz w:val="30"/>
          <w:szCs w:val="30"/>
          <w:highlight w:val="none"/>
        </w:rPr>
      </w:pPr>
    </w:p>
    <w:p>
      <w:pPr>
        <w:jc w:val="center"/>
        <w:rPr>
          <w:rFonts w:hint="eastAsia" w:ascii="新宋体" w:hAnsi="新宋体" w:eastAsia="新宋体" w:cs="新宋体"/>
          <w:color w:val="auto"/>
          <w:spacing w:val="40"/>
          <w:sz w:val="30"/>
          <w:szCs w:val="30"/>
          <w:highlight w:val="none"/>
        </w:rPr>
      </w:pPr>
    </w:p>
    <w:tbl>
      <w:tblPr>
        <w:tblStyle w:val="66"/>
        <w:tblW w:w="5731" w:type="dxa"/>
        <w:jc w:val="center"/>
        <w:tblInd w:w="0" w:type="dxa"/>
        <w:tblLayout w:type="fixed"/>
        <w:tblCellMar>
          <w:top w:w="0" w:type="dxa"/>
          <w:left w:w="108" w:type="dxa"/>
          <w:bottom w:w="0" w:type="dxa"/>
          <w:right w:w="108" w:type="dxa"/>
        </w:tblCellMar>
      </w:tblPr>
      <w:tblGrid>
        <w:gridCol w:w="1953"/>
        <w:gridCol w:w="3778"/>
      </w:tblGrid>
      <w:tr>
        <w:tblPrEx>
          <w:tblLayout w:type="fixed"/>
          <w:tblCellMar>
            <w:top w:w="0" w:type="dxa"/>
            <w:left w:w="108" w:type="dxa"/>
            <w:bottom w:w="0" w:type="dxa"/>
            <w:right w:w="108" w:type="dxa"/>
          </w:tblCellMar>
        </w:tblPrEx>
        <w:trPr>
          <w:trHeight w:val="510" w:hRule="atLeast"/>
          <w:jc w:val="center"/>
        </w:trPr>
        <w:tc>
          <w:tcPr>
            <w:tcW w:w="1953" w:type="dxa"/>
            <w:vAlign w:val="center"/>
          </w:tcPr>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3778" w:type="dxa"/>
            <w:vAlign w:val="center"/>
          </w:tcPr>
          <w:p>
            <w:pPr>
              <w:rPr>
                <w:rFonts w:hint="eastAsia"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lang w:val="en-US" w:eastAsia="zh-CN"/>
              </w:rPr>
              <w:t>CTZB-F180928CWB-1</w:t>
            </w:r>
          </w:p>
        </w:tc>
      </w:tr>
      <w:tr>
        <w:tblPrEx>
          <w:tblLayout w:type="fixed"/>
          <w:tblCellMar>
            <w:top w:w="0" w:type="dxa"/>
            <w:left w:w="108" w:type="dxa"/>
            <w:bottom w:w="0" w:type="dxa"/>
            <w:right w:w="108" w:type="dxa"/>
          </w:tblCellMar>
        </w:tblPrEx>
        <w:trPr>
          <w:trHeight w:val="510" w:hRule="atLeast"/>
          <w:jc w:val="center"/>
        </w:trPr>
        <w:tc>
          <w:tcPr>
            <w:tcW w:w="1953" w:type="dxa"/>
            <w:vAlign w:val="center"/>
          </w:tcPr>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3778" w:type="dxa"/>
            <w:vAlign w:val="center"/>
          </w:tcPr>
          <w:p>
            <w:pPr>
              <w:spacing w:line="220" w:lineRule="atLeast"/>
              <w:rPr>
                <w:rFonts w:hint="eastAsia" w:ascii="新宋体" w:hAnsi="新宋体" w:eastAsia="新宋体" w:cs="新宋体"/>
                <w:b/>
                <w:i/>
                <w:color w:val="auto"/>
                <w:sz w:val="28"/>
                <w:szCs w:val="28"/>
                <w:highlight w:val="none"/>
              </w:rPr>
            </w:pPr>
            <w:r>
              <w:rPr>
                <w:rFonts w:hint="eastAsia" w:ascii="新宋体" w:hAnsi="新宋体" w:eastAsia="新宋体" w:cs="新宋体"/>
                <w:b/>
                <w:color w:val="auto"/>
                <w:sz w:val="28"/>
                <w:szCs w:val="28"/>
                <w:highlight w:val="none"/>
              </w:rPr>
              <w:t>成本软件</w:t>
            </w:r>
          </w:p>
        </w:tc>
      </w:tr>
      <w:tr>
        <w:tblPrEx>
          <w:tblLayout w:type="fixed"/>
          <w:tblCellMar>
            <w:top w:w="0" w:type="dxa"/>
            <w:left w:w="108" w:type="dxa"/>
            <w:bottom w:w="0" w:type="dxa"/>
            <w:right w:w="108" w:type="dxa"/>
          </w:tblCellMar>
        </w:tblPrEx>
        <w:trPr>
          <w:trHeight w:val="510" w:hRule="atLeast"/>
          <w:jc w:val="center"/>
        </w:trPr>
        <w:tc>
          <w:tcPr>
            <w:tcW w:w="1953" w:type="dxa"/>
            <w:vAlign w:val="center"/>
          </w:tcPr>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3778" w:type="dxa"/>
            <w:vAlign w:val="center"/>
          </w:tcPr>
          <w:p>
            <w:pPr>
              <w:spacing w:line="220" w:lineRule="atLeast"/>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竞争性磋商</w:t>
            </w:r>
          </w:p>
        </w:tc>
      </w:tr>
    </w:tbl>
    <w:p>
      <w:pPr>
        <w:spacing w:line="600" w:lineRule="exact"/>
        <w:ind w:firstLine="904" w:firstLineChars="300"/>
        <w:jc w:val="center"/>
        <w:rPr>
          <w:rFonts w:hint="eastAsia"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 xml:space="preserve">                 </w:t>
      </w:r>
    </w:p>
    <w:p>
      <w:pPr>
        <w:spacing w:line="600" w:lineRule="exact"/>
        <w:rPr>
          <w:rFonts w:hint="eastAsia" w:ascii="新宋体" w:hAnsi="新宋体" w:eastAsia="新宋体" w:cs="新宋体"/>
          <w:b/>
          <w:color w:val="auto"/>
          <w:sz w:val="30"/>
          <w:szCs w:val="30"/>
          <w:highlight w:val="none"/>
        </w:rPr>
      </w:pPr>
    </w:p>
    <w:p>
      <w:pPr>
        <w:spacing w:line="480" w:lineRule="auto"/>
        <w:ind w:firstLine="744" w:firstLineChars="247"/>
        <w:rPr>
          <w:rFonts w:hint="eastAsia" w:ascii="新宋体" w:hAnsi="新宋体" w:eastAsia="新宋体" w:cs="新宋体"/>
          <w:b/>
          <w:color w:val="auto"/>
          <w:sz w:val="30"/>
          <w:szCs w:val="30"/>
          <w:highlight w:val="none"/>
        </w:rPr>
      </w:pPr>
    </w:p>
    <w:p>
      <w:pPr>
        <w:spacing w:line="480" w:lineRule="auto"/>
        <w:rPr>
          <w:rFonts w:hint="eastAsia"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 xml:space="preserve">         采   购   人：温州医科大学附属口腔医院</w:t>
      </w:r>
    </w:p>
    <w:p>
      <w:pPr>
        <w:spacing w:line="480" w:lineRule="auto"/>
        <w:ind w:firstLine="1361" w:firstLineChars="452"/>
        <w:rPr>
          <w:rFonts w:hint="eastAsia"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采购代理机构：浙江省成套招标代理有限公司</w:t>
      </w:r>
    </w:p>
    <w:p>
      <w:pPr>
        <w:spacing w:line="600" w:lineRule="exact"/>
        <w:rPr>
          <w:rFonts w:hint="eastAsia" w:ascii="新宋体" w:hAnsi="新宋体" w:eastAsia="新宋体" w:cs="新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新宋体" w:hAnsi="新宋体" w:eastAsia="新宋体" w:cs="新宋体"/>
          <w:b/>
          <w:color w:val="auto"/>
          <w:sz w:val="30"/>
          <w:szCs w:val="30"/>
          <w:highlight w:val="none"/>
        </w:rPr>
        <w:t xml:space="preserve">                        二○一八年九月</w:t>
      </w:r>
    </w:p>
    <w:p>
      <w:pPr>
        <w:rPr>
          <w:rFonts w:hint="eastAsia" w:ascii="新宋体" w:hAnsi="新宋体" w:eastAsia="新宋体" w:cs="新宋体"/>
          <w:b/>
          <w:bCs/>
          <w:color w:val="auto"/>
          <w:szCs w:val="21"/>
          <w:highlight w:val="none"/>
        </w:rPr>
      </w:pPr>
    </w:p>
    <w:p>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pPr>
        <w:spacing w:line="600" w:lineRule="exact"/>
        <w:jc w:val="center"/>
        <w:rPr>
          <w:rFonts w:hint="eastAsia" w:ascii="新宋体" w:hAnsi="新宋体" w:eastAsia="新宋体" w:cs="新宋体"/>
          <w:b/>
          <w:bCs/>
          <w:color w:val="auto"/>
          <w:sz w:val="32"/>
          <w:szCs w:val="32"/>
          <w:highlight w:val="none"/>
        </w:rPr>
      </w:pPr>
    </w:p>
    <w:p>
      <w:pPr>
        <w:pStyle w:val="37"/>
        <w:tabs>
          <w:tab w:val="right" w:leader="dot" w:pos="9344"/>
        </w:tabs>
        <w:spacing w:line="480" w:lineRule="auto"/>
        <w:ind w:left="821" w:hanging="821"/>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4"/>
          <w:highlight w:val="none"/>
          <w:lang w:val="en-US" w:eastAsia="zh-CN"/>
        </w:rPr>
        <w:fldChar w:fldCharType="begin"/>
      </w:r>
      <w:r>
        <w:rPr>
          <w:rFonts w:hint="eastAsia" w:ascii="新宋体" w:hAnsi="新宋体" w:eastAsia="新宋体" w:cs="新宋体"/>
          <w:color w:val="auto"/>
          <w:sz w:val="24"/>
          <w:highlight w:val="none"/>
          <w:lang w:val="en-US" w:eastAsia="zh-CN"/>
        </w:rPr>
        <w:instrText xml:space="preserve"> TOC \o "1-3" \h \z \u </w:instrText>
      </w:r>
      <w:r>
        <w:rPr>
          <w:rFonts w:hint="eastAsia" w:ascii="新宋体" w:hAnsi="新宋体" w:eastAsia="新宋体" w:cs="新宋体"/>
          <w:color w:val="auto"/>
          <w:sz w:val="24"/>
          <w:highlight w:val="none"/>
          <w:lang w:val="en-US" w:eastAsia="zh-CN"/>
        </w:rPr>
        <w:fldChar w:fldCharType="separate"/>
      </w:r>
      <w:r>
        <w:rPr>
          <w:color w:val="auto"/>
          <w:highlight w:val="none"/>
        </w:rPr>
        <w:fldChar w:fldCharType="begin"/>
      </w:r>
      <w:r>
        <w:rPr>
          <w:color w:val="auto"/>
          <w:highlight w:val="none"/>
        </w:rPr>
        <w:instrText xml:space="preserve"> HYPERLINK \l "_Toc508785478" </w:instrText>
      </w:r>
      <w:r>
        <w:rPr>
          <w:color w:val="auto"/>
          <w:highlight w:val="none"/>
        </w:rPr>
        <w:fldChar w:fldCharType="separate"/>
      </w:r>
      <w:r>
        <w:rPr>
          <w:rStyle w:val="59"/>
          <w:rFonts w:hint="eastAsia" w:ascii="新宋体" w:hAnsi="新宋体" w:eastAsia="新宋体" w:cs="新宋体"/>
          <w:color w:val="auto"/>
          <w:sz w:val="22"/>
          <w:szCs w:val="22"/>
          <w:highlight w:val="none"/>
          <w:lang w:val="en-US" w:eastAsia="zh-CN"/>
        </w:rPr>
        <w:t>浙江省成套招标代理有限公司关于</w:t>
      </w:r>
      <w:r>
        <w:rPr>
          <w:rStyle w:val="59"/>
          <w:rFonts w:hint="eastAsia" w:ascii="新宋体" w:hAnsi="新宋体" w:eastAsia="新宋体" w:cs="新宋体"/>
          <w:color w:val="auto"/>
          <w:sz w:val="22"/>
          <w:szCs w:val="22"/>
          <w:highlight w:val="none"/>
          <w:lang w:val="en-US"/>
        </w:rPr>
        <w:t>成本软件</w:t>
      </w:r>
      <w:r>
        <w:rPr>
          <w:rStyle w:val="59"/>
          <w:rFonts w:hint="eastAsia" w:ascii="新宋体" w:hAnsi="新宋体" w:eastAsia="新宋体" w:cs="新宋体"/>
          <w:color w:val="auto"/>
          <w:sz w:val="22"/>
          <w:szCs w:val="22"/>
          <w:highlight w:val="none"/>
          <w:lang w:val="en-US" w:eastAsia="zh-CN"/>
        </w:rPr>
        <w:t>项目的竞争性磋商采购公告</w:t>
      </w:r>
      <w:r>
        <w:rPr>
          <w:rFonts w:hint="eastAsia" w:ascii="新宋体" w:hAnsi="新宋体" w:eastAsia="新宋体" w:cs="新宋体"/>
          <w:color w:val="auto"/>
          <w:sz w:val="22"/>
          <w:szCs w:val="22"/>
          <w:highlight w:val="none"/>
          <w:lang w:val="en-US" w:eastAsia="zh-CN"/>
        </w:rPr>
        <w:tab/>
      </w: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PAGEREF _Toc508785478 \h </w:instrText>
      </w:r>
      <w:r>
        <w:rPr>
          <w:rFonts w:hint="eastAsia" w:ascii="新宋体" w:hAnsi="新宋体" w:eastAsia="新宋体" w:cs="新宋体"/>
          <w:color w:val="auto"/>
          <w:sz w:val="22"/>
          <w:szCs w:val="22"/>
          <w:highlight w:val="none"/>
          <w:lang w:val="en-US" w:eastAsia="zh-CN"/>
        </w:rPr>
        <w:fldChar w:fldCharType="separate"/>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fldChar w:fldCharType="end"/>
      </w:r>
    </w:p>
    <w:p>
      <w:pPr>
        <w:pStyle w:val="37"/>
        <w:tabs>
          <w:tab w:val="right" w:leader="dot" w:pos="9344"/>
        </w:tabs>
        <w:spacing w:line="480" w:lineRule="auto"/>
        <w:ind w:left="752" w:hanging="752"/>
        <w:rPr>
          <w:rFonts w:hint="eastAsia" w:ascii="新宋体" w:hAnsi="新宋体" w:eastAsia="新宋体" w:cs="新宋体"/>
          <w:color w:val="auto"/>
          <w:sz w:val="22"/>
          <w:szCs w:val="22"/>
          <w:highlight w:val="none"/>
          <w:lang w:val="en-US" w:eastAsia="zh-CN"/>
        </w:rPr>
      </w:pPr>
      <w:r>
        <w:rPr>
          <w:color w:val="auto"/>
          <w:highlight w:val="none"/>
        </w:rPr>
        <w:fldChar w:fldCharType="begin"/>
      </w:r>
      <w:r>
        <w:rPr>
          <w:color w:val="auto"/>
          <w:highlight w:val="none"/>
        </w:rPr>
        <w:instrText xml:space="preserve"> HYPERLINK \l "_Toc508785479" </w:instrText>
      </w:r>
      <w:r>
        <w:rPr>
          <w:color w:val="auto"/>
          <w:highlight w:val="none"/>
        </w:rPr>
        <w:fldChar w:fldCharType="separate"/>
      </w:r>
      <w:r>
        <w:rPr>
          <w:rStyle w:val="59"/>
          <w:rFonts w:hint="eastAsia" w:ascii="新宋体" w:hAnsi="新宋体" w:eastAsia="新宋体" w:cs="新宋体"/>
          <w:color w:val="auto"/>
          <w:sz w:val="22"/>
          <w:szCs w:val="22"/>
          <w:highlight w:val="none"/>
          <w:lang w:val="en-US" w:eastAsia="zh-CN"/>
        </w:rPr>
        <w:t>第一部分    采购内容及需求</w:t>
      </w:r>
      <w:r>
        <w:rPr>
          <w:rFonts w:hint="eastAsia" w:ascii="新宋体" w:hAnsi="新宋体" w:eastAsia="新宋体" w:cs="新宋体"/>
          <w:color w:val="auto"/>
          <w:sz w:val="22"/>
          <w:szCs w:val="22"/>
          <w:highlight w:val="none"/>
          <w:lang w:val="en-US" w:eastAsia="zh-CN"/>
        </w:rPr>
        <w:tab/>
      </w: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PAGEREF _Toc508785479 \h </w:instrText>
      </w:r>
      <w:r>
        <w:rPr>
          <w:rFonts w:hint="eastAsia" w:ascii="新宋体" w:hAnsi="新宋体" w:eastAsia="新宋体" w:cs="新宋体"/>
          <w:color w:val="auto"/>
          <w:sz w:val="22"/>
          <w:szCs w:val="22"/>
          <w:highlight w:val="none"/>
          <w:lang w:val="en-US" w:eastAsia="zh-CN"/>
        </w:rPr>
        <w:fldChar w:fldCharType="separate"/>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fldChar w:fldCharType="end"/>
      </w:r>
    </w:p>
    <w:p>
      <w:pPr>
        <w:pStyle w:val="37"/>
        <w:tabs>
          <w:tab w:val="right" w:leader="dot" w:pos="9344"/>
        </w:tabs>
        <w:spacing w:line="480" w:lineRule="auto"/>
        <w:ind w:left="752" w:hanging="752"/>
        <w:rPr>
          <w:rFonts w:hint="eastAsia" w:ascii="新宋体" w:hAnsi="新宋体" w:eastAsia="新宋体" w:cs="新宋体"/>
          <w:color w:val="auto"/>
          <w:sz w:val="22"/>
          <w:szCs w:val="22"/>
          <w:highlight w:val="none"/>
          <w:lang w:val="en-US" w:eastAsia="zh-CN"/>
        </w:rPr>
      </w:pPr>
      <w:r>
        <w:rPr>
          <w:color w:val="auto"/>
          <w:highlight w:val="none"/>
        </w:rPr>
        <w:fldChar w:fldCharType="begin"/>
      </w:r>
      <w:r>
        <w:rPr>
          <w:color w:val="auto"/>
          <w:highlight w:val="none"/>
        </w:rPr>
        <w:instrText xml:space="preserve"> HYPERLINK \l "_Toc508785480" </w:instrText>
      </w:r>
      <w:r>
        <w:rPr>
          <w:color w:val="auto"/>
          <w:highlight w:val="none"/>
        </w:rPr>
        <w:fldChar w:fldCharType="separate"/>
      </w:r>
      <w:r>
        <w:rPr>
          <w:rStyle w:val="59"/>
          <w:rFonts w:hint="eastAsia" w:ascii="新宋体" w:hAnsi="新宋体" w:eastAsia="新宋体" w:cs="新宋体"/>
          <w:color w:val="auto"/>
          <w:sz w:val="22"/>
          <w:szCs w:val="22"/>
          <w:highlight w:val="none"/>
          <w:lang w:val="en-US" w:eastAsia="zh-CN"/>
        </w:rPr>
        <w:t>第二部分    供应商须知</w:t>
      </w:r>
      <w:r>
        <w:rPr>
          <w:rFonts w:hint="eastAsia" w:ascii="新宋体" w:hAnsi="新宋体" w:eastAsia="新宋体" w:cs="新宋体"/>
          <w:color w:val="auto"/>
          <w:sz w:val="22"/>
          <w:szCs w:val="22"/>
          <w:highlight w:val="none"/>
          <w:lang w:val="en-US" w:eastAsia="zh-CN"/>
        </w:rPr>
        <w:tab/>
      </w: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PAGEREF _Toc508785480 \h </w:instrText>
      </w:r>
      <w:r>
        <w:rPr>
          <w:rFonts w:hint="eastAsia" w:ascii="新宋体" w:hAnsi="新宋体" w:eastAsia="新宋体" w:cs="新宋体"/>
          <w:color w:val="auto"/>
          <w:sz w:val="22"/>
          <w:szCs w:val="22"/>
          <w:highlight w:val="none"/>
          <w:lang w:val="en-US" w:eastAsia="zh-CN"/>
        </w:rPr>
        <w:fldChar w:fldCharType="separate"/>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fldChar w:fldCharType="end"/>
      </w:r>
    </w:p>
    <w:p>
      <w:pPr>
        <w:pStyle w:val="37"/>
        <w:tabs>
          <w:tab w:val="right" w:leader="dot" w:pos="9344"/>
        </w:tabs>
        <w:spacing w:line="480" w:lineRule="auto"/>
        <w:ind w:left="752" w:hanging="752"/>
        <w:rPr>
          <w:rFonts w:hint="eastAsia" w:ascii="新宋体" w:hAnsi="新宋体" w:eastAsia="新宋体" w:cs="新宋体"/>
          <w:color w:val="auto"/>
          <w:sz w:val="22"/>
          <w:szCs w:val="22"/>
          <w:highlight w:val="none"/>
          <w:lang w:val="en-US" w:eastAsia="zh-CN"/>
        </w:rPr>
      </w:pPr>
      <w:r>
        <w:rPr>
          <w:color w:val="auto"/>
          <w:highlight w:val="none"/>
        </w:rPr>
        <w:fldChar w:fldCharType="begin"/>
      </w:r>
      <w:r>
        <w:rPr>
          <w:color w:val="auto"/>
          <w:highlight w:val="none"/>
        </w:rPr>
        <w:instrText xml:space="preserve"> HYPERLINK \l "_Toc508785481" </w:instrText>
      </w:r>
      <w:r>
        <w:rPr>
          <w:color w:val="auto"/>
          <w:highlight w:val="none"/>
        </w:rPr>
        <w:fldChar w:fldCharType="separate"/>
      </w:r>
      <w:r>
        <w:rPr>
          <w:rStyle w:val="59"/>
          <w:rFonts w:hint="eastAsia" w:ascii="新宋体" w:hAnsi="新宋体" w:eastAsia="新宋体" w:cs="新宋体"/>
          <w:color w:val="auto"/>
          <w:sz w:val="22"/>
          <w:szCs w:val="22"/>
          <w:highlight w:val="none"/>
          <w:lang w:val="en-US" w:eastAsia="zh-CN"/>
        </w:rPr>
        <w:t>供应商须知前附表</w:t>
      </w:r>
      <w:r>
        <w:rPr>
          <w:rFonts w:hint="eastAsia" w:ascii="新宋体" w:hAnsi="新宋体" w:eastAsia="新宋体" w:cs="新宋体"/>
          <w:color w:val="auto"/>
          <w:sz w:val="22"/>
          <w:szCs w:val="22"/>
          <w:highlight w:val="none"/>
          <w:lang w:val="en-US" w:eastAsia="zh-CN"/>
        </w:rPr>
        <w:tab/>
      </w: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PAGEREF _Toc508785481 \h </w:instrText>
      </w:r>
      <w:r>
        <w:rPr>
          <w:rFonts w:hint="eastAsia" w:ascii="新宋体" w:hAnsi="新宋体" w:eastAsia="新宋体" w:cs="新宋体"/>
          <w:color w:val="auto"/>
          <w:sz w:val="22"/>
          <w:szCs w:val="22"/>
          <w:highlight w:val="none"/>
          <w:lang w:val="en-US" w:eastAsia="zh-CN"/>
        </w:rPr>
        <w:fldChar w:fldCharType="separate"/>
      </w:r>
      <w:r>
        <w:rPr>
          <w:rFonts w:hint="eastAsia" w:ascii="新宋体" w:hAnsi="新宋体" w:eastAsia="新宋体" w:cs="新宋体"/>
          <w:color w:val="auto"/>
          <w:sz w:val="22"/>
          <w:szCs w:val="22"/>
          <w:highlight w:val="none"/>
          <w:lang w:val="en-US" w:eastAsia="zh-CN"/>
        </w:rPr>
        <w:t>13</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fldChar w:fldCharType="end"/>
      </w:r>
    </w:p>
    <w:p>
      <w:pPr>
        <w:pStyle w:val="43"/>
        <w:tabs>
          <w:tab w:val="right" w:leader="dot" w:pos="9344"/>
        </w:tabs>
        <w:spacing w:line="480" w:lineRule="auto"/>
        <w:rPr>
          <w:rFonts w:hint="eastAsia" w:ascii="新宋体" w:hAnsi="新宋体" w:eastAsia="新宋体" w:cs="新宋体"/>
          <w:color w:val="auto"/>
          <w:sz w:val="22"/>
          <w:szCs w:val="22"/>
          <w:highlight w:val="none"/>
          <w:lang w:val="en-US" w:eastAsia="zh-CN"/>
        </w:rPr>
      </w:pPr>
      <w:r>
        <w:rPr>
          <w:color w:val="auto"/>
          <w:highlight w:val="none"/>
        </w:rPr>
        <w:fldChar w:fldCharType="begin"/>
      </w:r>
      <w:r>
        <w:rPr>
          <w:color w:val="auto"/>
          <w:highlight w:val="none"/>
        </w:rPr>
        <w:instrText xml:space="preserve"> HYPERLINK \l "_Toc508785482" </w:instrText>
      </w:r>
      <w:r>
        <w:rPr>
          <w:color w:val="auto"/>
          <w:highlight w:val="none"/>
        </w:rPr>
        <w:fldChar w:fldCharType="separate"/>
      </w:r>
      <w:r>
        <w:rPr>
          <w:rStyle w:val="59"/>
          <w:rFonts w:hint="eastAsia" w:ascii="新宋体" w:hAnsi="新宋体" w:eastAsia="新宋体" w:cs="新宋体"/>
          <w:color w:val="auto"/>
          <w:sz w:val="22"/>
          <w:szCs w:val="22"/>
          <w:highlight w:val="none"/>
          <w:lang w:val="en-US" w:eastAsia="zh-CN"/>
        </w:rPr>
        <w:t>一   说 明</w:t>
      </w:r>
      <w:r>
        <w:rPr>
          <w:rFonts w:hint="eastAsia" w:ascii="新宋体" w:hAnsi="新宋体" w:eastAsia="新宋体" w:cs="新宋体"/>
          <w:color w:val="auto"/>
          <w:sz w:val="22"/>
          <w:szCs w:val="22"/>
          <w:highlight w:val="none"/>
          <w:lang w:val="en-US" w:eastAsia="zh-CN"/>
        </w:rPr>
        <w:tab/>
      </w: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PAGEREF _Toc508785482 \h </w:instrText>
      </w:r>
      <w:r>
        <w:rPr>
          <w:rFonts w:hint="eastAsia" w:ascii="新宋体" w:hAnsi="新宋体" w:eastAsia="新宋体" w:cs="新宋体"/>
          <w:color w:val="auto"/>
          <w:sz w:val="22"/>
          <w:szCs w:val="22"/>
          <w:highlight w:val="none"/>
          <w:lang w:val="en-US" w:eastAsia="zh-CN"/>
        </w:rPr>
        <w:fldChar w:fldCharType="separate"/>
      </w:r>
      <w:r>
        <w:rPr>
          <w:rFonts w:hint="eastAsia" w:ascii="新宋体" w:hAnsi="新宋体" w:eastAsia="新宋体" w:cs="新宋体"/>
          <w:color w:val="auto"/>
          <w:sz w:val="22"/>
          <w:szCs w:val="22"/>
          <w:highlight w:val="none"/>
          <w:lang w:val="en-US" w:eastAsia="zh-CN"/>
        </w:rPr>
        <w:t>16</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fldChar w:fldCharType="end"/>
      </w:r>
    </w:p>
    <w:p>
      <w:pPr>
        <w:pStyle w:val="43"/>
        <w:tabs>
          <w:tab w:val="right" w:leader="dot" w:pos="9344"/>
        </w:tabs>
        <w:spacing w:line="480" w:lineRule="auto"/>
        <w:rPr>
          <w:rFonts w:hint="eastAsia" w:ascii="新宋体" w:hAnsi="新宋体" w:eastAsia="新宋体" w:cs="新宋体"/>
          <w:color w:val="auto"/>
          <w:sz w:val="22"/>
          <w:szCs w:val="22"/>
          <w:highlight w:val="none"/>
          <w:lang w:val="en-US" w:eastAsia="zh-CN"/>
        </w:rPr>
      </w:pPr>
      <w:r>
        <w:rPr>
          <w:color w:val="auto"/>
          <w:highlight w:val="none"/>
        </w:rPr>
        <w:fldChar w:fldCharType="begin"/>
      </w:r>
      <w:r>
        <w:rPr>
          <w:color w:val="auto"/>
          <w:highlight w:val="none"/>
        </w:rPr>
        <w:instrText xml:space="preserve"> HYPERLINK \l "_Toc508785483" </w:instrText>
      </w:r>
      <w:r>
        <w:rPr>
          <w:color w:val="auto"/>
          <w:highlight w:val="none"/>
        </w:rPr>
        <w:fldChar w:fldCharType="separate"/>
      </w:r>
      <w:r>
        <w:rPr>
          <w:rStyle w:val="59"/>
          <w:rFonts w:hint="eastAsia" w:ascii="新宋体" w:hAnsi="新宋体" w:eastAsia="新宋体" w:cs="新宋体"/>
          <w:b/>
          <w:bCs/>
          <w:color w:val="auto"/>
          <w:sz w:val="22"/>
          <w:szCs w:val="22"/>
          <w:highlight w:val="none"/>
          <w:lang w:val="en-US" w:eastAsia="zh-CN"/>
        </w:rPr>
        <w:t>二   竞争性磋商采购文件</w:t>
      </w:r>
      <w:r>
        <w:rPr>
          <w:rFonts w:hint="eastAsia" w:ascii="新宋体" w:hAnsi="新宋体" w:eastAsia="新宋体" w:cs="新宋体"/>
          <w:color w:val="auto"/>
          <w:sz w:val="22"/>
          <w:szCs w:val="22"/>
          <w:highlight w:val="none"/>
          <w:lang w:val="en-US" w:eastAsia="zh-CN"/>
        </w:rPr>
        <w:tab/>
      </w: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PAGEREF _Toc508785483 \h </w:instrText>
      </w:r>
      <w:r>
        <w:rPr>
          <w:rFonts w:hint="eastAsia" w:ascii="新宋体" w:hAnsi="新宋体" w:eastAsia="新宋体" w:cs="新宋体"/>
          <w:color w:val="auto"/>
          <w:sz w:val="22"/>
          <w:szCs w:val="22"/>
          <w:highlight w:val="none"/>
          <w:lang w:val="en-US" w:eastAsia="zh-CN"/>
        </w:rPr>
        <w:fldChar w:fldCharType="separate"/>
      </w:r>
      <w:r>
        <w:rPr>
          <w:rFonts w:hint="eastAsia" w:ascii="新宋体" w:hAnsi="新宋体" w:eastAsia="新宋体" w:cs="新宋体"/>
          <w:color w:val="auto"/>
          <w:sz w:val="22"/>
          <w:szCs w:val="22"/>
          <w:highlight w:val="none"/>
          <w:lang w:val="en-US" w:eastAsia="zh-CN"/>
        </w:rPr>
        <w:t>16</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fldChar w:fldCharType="end"/>
      </w:r>
    </w:p>
    <w:p>
      <w:pPr>
        <w:pStyle w:val="43"/>
        <w:tabs>
          <w:tab w:val="right" w:leader="dot" w:pos="9344"/>
        </w:tabs>
        <w:spacing w:line="480" w:lineRule="auto"/>
        <w:rPr>
          <w:rFonts w:hint="eastAsia" w:ascii="新宋体" w:hAnsi="新宋体" w:eastAsia="新宋体" w:cs="新宋体"/>
          <w:color w:val="auto"/>
          <w:sz w:val="22"/>
          <w:szCs w:val="22"/>
          <w:highlight w:val="none"/>
          <w:lang w:val="en-US" w:eastAsia="zh-CN"/>
        </w:rPr>
      </w:pPr>
      <w:r>
        <w:rPr>
          <w:color w:val="auto"/>
          <w:highlight w:val="none"/>
        </w:rPr>
        <w:fldChar w:fldCharType="begin"/>
      </w:r>
      <w:r>
        <w:rPr>
          <w:color w:val="auto"/>
          <w:highlight w:val="none"/>
        </w:rPr>
        <w:instrText xml:space="preserve"> HYPERLINK \l "_Toc508785484" </w:instrText>
      </w:r>
      <w:r>
        <w:rPr>
          <w:color w:val="auto"/>
          <w:highlight w:val="none"/>
        </w:rPr>
        <w:fldChar w:fldCharType="separate"/>
      </w:r>
      <w:r>
        <w:rPr>
          <w:rStyle w:val="59"/>
          <w:rFonts w:hint="eastAsia" w:ascii="新宋体" w:hAnsi="新宋体" w:eastAsia="新宋体" w:cs="新宋体"/>
          <w:b/>
          <w:bCs/>
          <w:color w:val="auto"/>
          <w:sz w:val="22"/>
          <w:szCs w:val="22"/>
          <w:highlight w:val="none"/>
          <w:lang w:val="en-US" w:eastAsia="zh-CN"/>
        </w:rPr>
        <w:t>三   磋商响应文件的编制</w:t>
      </w:r>
      <w:r>
        <w:rPr>
          <w:rFonts w:hint="eastAsia" w:ascii="新宋体" w:hAnsi="新宋体" w:eastAsia="新宋体" w:cs="新宋体"/>
          <w:color w:val="auto"/>
          <w:sz w:val="22"/>
          <w:szCs w:val="22"/>
          <w:highlight w:val="none"/>
          <w:lang w:val="en-US" w:eastAsia="zh-CN"/>
        </w:rPr>
        <w:tab/>
      </w: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PAGEREF _Toc508785484 \h </w:instrText>
      </w:r>
      <w:r>
        <w:rPr>
          <w:rFonts w:hint="eastAsia" w:ascii="新宋体" w:hAnsi="新宋体" w:eastAsia="新宋体" w:cs="新宋体"/>
          <w:color w:val="auto"/>
          <w:sz w:val="22"/>
          <w:szCs w:val="22"/>
          <w:highlight w:val="none"/>
          <w:lang w:val="en-US" w:eastAsia="zh-CN"/>
        </w:rPr>
        <w:fldChar w:fldCharType="separate"/>
      </w:r>
      <w:r>
        <w:rPr>
          <w:rFonts w:hint="eastAsia" w:ascii="新宋体" w:hAnsi="新宋体" w:eastAsia="新宋体" w:cs="新宋体"/>
          <w:color w:val="auto"/>
          <w:sz w:val="22"/>
          <w:szCs w:val="22"/>
          <w:highlight w:val="none"/>
          <w:lang w:val="en-US" w:eastAsia="zh-CN"/>
        </w:rPr>
        <w:t>16</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fldChar w:fldCharType="end"/>
      </w:r>
    </w:p>
    <w:p>
      <w:pPr>
        <w:pStyle w:val="43"/>
        <w:tabs>
          <w:tab w:val="right" w:leader="dot" w:pos="9344"/>
        </w:tabs>
        <w:spacing w:line="480" w:lineRule="auto"/>
        <w:rPr>
          <w:rFonts w:hint="eastAsia" w:ascii="新宋体" w:hAnsi="新宋体" w:eastAsia="新宋体" w:cs="新宋体"/>
          <w:color w:val="auto"/>
          <w:sz w:val="22"/>
          <w:szCs w:val="22"/>
          <w:highlight w:val="none"/>
          <w:lang w:val="en-US" w:eastAsia="zh-CN"/>
        </w:rPr>
      </w:pPr>
      <w:r>
        <w:rPr>
          <w:color w:val="auto"/>
          <w:highlight w:val="none"/>
        </w:rPr>
        <w:fldChar w:fldCharType="begin"/>
      </w:r>
      <w:r>
        <w:rPr>
          <w:color w:val="auto"/>
          <w:highlight w:val="none"/>
        </w:rPr>
        <w:instrText xml:space="preserve"> HYPERLINK \l "_Toc508785485" </w:instrText>
      </w:r>
      <w:r>
        <w:rPr>
          <w:color w:val="auto"/>
          <w:highlight w:val="none"/>
        </w:rPr>
        <w:fldChar w:fldCharType="separate"/>
      </w:r>
      <w:r>
        <w:rPr>
          <w:rStyle w:val="59"/>
          <w:rFonts w:hint="eastAsia" w:ascii="新宋体" w:hAnsi="新宋体" w:eastAsia="新宋体" w:cs="新宋体"/>
          <w:b/>
          <w:bCs/>
          <w:color w:val="auto"/>
          <w:sz w:val="22"/>
          <w:szCs w:val="22"/>
          <w:highlight w:val="none"/>
          <w:lang w:val="en-US" w:eastAsia="zh-CN"/>
        </w:rPr>
        <w:t>四   磋商响应文件的递交</w:t>
      </w:r>
      <w:r>
        <w:rPr>
          <w:rFonts w:hint="eastAsia" w:ascii="新宋体" w:hAnsi="新宋体" w:eastAsia="新宋体" w:cs="新宋体"/>
          <w:color w:val="auto"/>
          <w:sz w:val="22"/>
          <w:szCs w:val="22"/>
          <w:highlight w:val="none"/>
          <w:lang w:val="en-US" w:eastAsia="zh-CN"/>
        </w:rPr>
        <w:tab/>
      </w: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PAGEREF _Toc508785485 \h </w:instrText>
      </w:r>
      <w:r>
        <w:rPr>
          <w:rFonts w:hint="eastAsia" w:ascii="新宋体" w:hAnsi="新宋体" w:eastAsia="新宋体" w:cs="新宋体"/>
          <w:color w:val="auto"/>
          <w:sz w:val="22"/>
          <w:szCs w:val="22"/>
          <w:highlight w:val="none"/>
          <w:lang w:val="en-US" w:eastAsia="zh-CN"/>
        </w:rPr>
        <w:fldChar w:fldCharType="separate"/>
      </w:r>
      <w:r>
        <w:rPr>
          <w:rFonts w:hint="eastAsia" w:ascii="新宋体" w:hAnsi="新宋体" w:eastAsia="新宋体" w:cs="新宋体"/>
          <w:color w:val="auto"/>
          <w:sz w:val="22"/>
          <w:szCs w:val="22"/>
          <w:highlight w:val="none"/>
          <w:lang w:val="en-US" w:eastAsia="zh-CN"/>
        </w:rPr>
        <w:t>20</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fldChar w:fldCharType="end"/>
      </w:r>
    </w:p>
    <w:p>
      <w:pPr>
        <w:pStyle w:val="43"/>
        <w:tabs>
          <w:tab w:val="right" w:leader="dot" w:pos="9344"/>
        </w:tabs>
        <w:spacing w:line="480" w:lineRule="auto"/>
        <w:rPr>
          <w:rFonts w:hint="eastAsia" w:ascii="新宋体" w:hAnsi="新宋体" w:eastAsia="新宋体" w:cs="新宋体"/>
          <w:color w:val="auto"/>
          <w:sz w:val="22"/>
          <w:szCs w:val="22"/>
          <w:highlight w:val="none"/>
          <w:lang w:val="en-US" w:eastAsia="zh-CN"/>
        </w:rPr>
      </w:pPr>
      <w:r>
        <w:rPr>
          <w:color w:val="auto"/>
          <w:highlight w:val="none"/>
        </w:rPr>
        <w:fldChar w:fldCharType="begin"/>
      </w:r>
      <w:r>
        <w:rPr>
          <w:color w:val="auto"/>
          <w:highlight w:val="none"/>
        </w:rPr>
        <w:instrText xml:space="preserve"> HYPERLINK \l "_Toc508785486" </w:instrText>
      </w:r>
      <w:r>
        <w:rPr>
          <w:color w:val="auto"/>
          <w:highlight w:val="none"/>
        </w:rPr>
        <w:fldChar w:fldCharType="separate"/>
      </w:r>
      <w:r>
        <w:rPr>
          <w:rStyle w:val="59"/>
          <w:rFonts w:hint="eastAsia" w:ascii="新宋体" w:hAnsi="新宋体" w:eastAsia="新宋体" w:cs="新宋体"/>
          <w:b/>
          <w:bCs/>
          <w:color w:val="auto"/>
          <w:sz w:val="22"/>
          <w:szCs w:val="22"/>
          <w:highlight w:val="none"/>
          <w:lang w:val="en-US" w:eastAsia="zh-CN"/>
        </w:rPr>
        <w:t>五   磋商和原则</w:t>
      </w:r>
      <w:r>
        <w:rPr>
          <w:rFonts w:hint="eastAsia" w:ascii="新宋体" w:hAnsi="新宋体" w:eastAsia="新宋体" w:cs="新宋体"/>
          <w:color w:val="auto"/>
          <w:sz w:val="22"/>
          <w:szCs w:val="22"/>
          <w:highlight w:val="none"/>
          <w:lang w:val="en-US" w:eastAsia="zh-CN"/>
        </w:rPr>
        <w:tab/>
      </w: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PAGEREF _Toc508785486 \h </w:instrText>
      </w:r>
      <w:r>
        <w:rPr>
          <w:rFonts w:hint="eastAsia" w:ascii="新宋体" w:hAnsi="新宋体" w:eastAsia="新宋体" w:cs="新宋体"/>
          <w:color w:val="auto"/>
          <w:sz w:val="22"/>
          <w:szCs w:val="22"/>
          <w:highlight w:val="none"/>
          <w:lang w:val="en-US" w:eastAsia="zh-CN"/>
        </w:rPr>
        <w:fldChar w:fldCharType="separate"/>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fldChar w:fldCharType="end"/>
      </w:r>
    </w:p>
    <w:p>
      <w:pPr>
        <w:pStyle w:val="43"/>
        <w:tabs>
          <w:tab w:val="right" w:leader="dot" w:pos="9344"/>
        </w:tabs>
        <w:spacing w:line="480" w:lineRule="auto"/>
        <w:rPr>
          <w:rFonts w:hint="eastAsia" w:ascii="新宋体" w:hAnsi="新宋体" w:eastAsia="新宋体" w:cs="新宋体"/>
          <w:color w:val="auto"/>
          <w:sz w:val="22"/>
          <w:szCs w:val="22"/>
          <w:highlight w:val="none"/>
          <w:lang w:val="en-US" w:eastAsia="zh-CN"/>
        </w:rPr>
      </w:pPr>
      <w:r>
        <w:rPr>
          <w:color w:val="auto"/>
          <w:highlight w:val="none"/>
        </w:rPr>
        <w:fldChar w:fldCharType="begin"/>
      </w:r>
      <w:r>
        <w:rPr>
          <w:color w:val="auto"/>
          <w:highlight w:val="none"/>
        </w:rPr>
        <w:instrText xml:space="preserve"> HYPERLINK \l "_Toc508785487" </w:instrText>
      </w:r>
      <w:r>
        <w:rPr>
          <w:color w:val="auto"/>
          <w:highlight w:val="none"/>
        </w:rPr>
        <w:fldChar w:fldCharType="separate"/>
      </w:r>
      <w:r>
        <w:rPr>
          <w:rStyle w:val="59"/>
          <w:rFonts w:hint="eastAsia" w:ascii="新宋体" w:hAnsi="新宋体" w:eastAsia="新宋体" w:cs="新宋体"/>
          <w:b/>
          <w:bCs/>
          <w:color w:val="auto"/>
          <w:sz w:val="22"/>
          <w:szCs w:val="22"/>
          <w:highlight w:val="none"/>
          <w:lang w:val="en-US" w:eastAsia="zh-CN"/>
        </w:rPr>
        <w:t>六、 授予合同</w:t>
      </w:r>
      <w:r>
        <w:rPr>
          <w:rFonts w:hint="eastAsia" w:ascii="新宋体" w:hAnsi="新宋体" w:eastAsia="新宋体" w:cs="新宋体"/>
          <w:color w:val="auto"/>
          <w:sz w:val="22"/>
          <w:szCs w:val="22"/>
          <w:highlight w:val="none"/>
          <w:lang w:val="en-US" w:eastAsia="zh-CN"/>
        </w:rPr>
        <w:tab/>
      </w: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PAGEREF _Toc508785487 \h </w:instrText>
      </w:r>
      <w:r>
        <w:rPr>
          <w:rFonts w:hint="eastAsia" w:ascii="新宋体" w:hAnsi="新宋体" w:eastAsia="新宋体" w:cs="新宋体"/>
          <w:color w:val="auto"/>
          <w:sz w:val="22"/>
          <w:szCs w:val="22"/>
          <w:highlight w:val="none"/>
          <w:lang w:val="en-US" w:eastAsia="zh-CN"/>
        </w:rPr>
        <w:fldChar w:fldCharType="separate"/>
      </w:r>
      <w:r>
        <w:rPr>
          <w:rFonts w:hint="eastAsia" w:ascii="新宋体" w:hAnsi="新宋体" w:eastAsia="新宋体" w:cs="新宋体"/>
          <w:color w:val="auto"/>
          <w:sz w:val="22"/>
          <w:szCs w:val="22"/>
          <w:highlight w:val="none"/>
          <w:lang w:val="en-US" w:eastAsia="zh-CN"/>
        </w:rPr>
        <w:t>23</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fldChar w:fldCharType="end"/>
      </w:r>
    </w:p>
    <w:p>
      <w:pPr>
        <w:pStyle w:val="37"/>
        <w:tabs>
          <w:tab w:val="right" w:leader="dot" w:pos="9344"/>
        </w:tabs>
        <w:spacing w:line="480" w:lineRule="auto"/>
        <w:ind w:left="752" w:hanging="752"/>
        <w:rPr>
          <w:rFonts w:hint="eastAsia" w:ascii="新宋体" w:hAnsi="新宋体" w:eastAsia="新宋体" w:cs="新宋体"/>
          <w:color w:val="auto"/>
          <w:sz w:val="22"/>
          <w:szCs w:val="22"/>
          <w:highlight w:val="none"/>
          <w:lang w:val="en-US" w:eastAsia="zh-CN"/>
        </w:rPr>
      </w:pPr>
      <w:r>
        <w:rPr>
          <w:color w:val="auto"/>
          <w:highlight w:val="none"/>
        </w:rPr>
        <w:fldChar w:fldCharType="begin"/>
      </w:r>
      <w:r>
        <w:rPr>
          <w:color w:val="auto"/>
          <w:highlight w:val="none"/>
        </w:rPr>
        <w:instrText xml:space="preserve"> HYPERLINK \l "_Toc508785488" </w:instrText>
      </w:r>
      <w:r>
        <w:rPr>
          <w:color w:val="auto"/>
          <w:highlight w:val="none"/>
        </w:rPr>
        <w:fldChar w:fldCharType="separate"/>
      </w:r>
      <w:r>
        <w:rPr>
          <w:rStyle w:val="59"/>
          <w:rFonts w:hint="eastAsia" w:ascii="新宋体" w:hAnsi="新宋体" w:eastAsia="新宋体" w:cs="新宋体"/>
          <w:color w:val="auto"/>
          <w:sz w:val="22"/>
          <w:szCs w:val="22"/>
          <w:highlight w:val="none"/>
          <w:lang w:val="en-US" w:eastAsia="zh-CN"/>
        </w:rPr>
        <w:t>第三部分   磋商原则及方法</w:t>
      </w:r>
      <w:r>
        <w:rPr>
          <w:rFonts w:hint="eastAsia" w:ascii="新宋体" w:hAnsi="新宋体" w:eastAsia="新宋体" w:cs="新宋体"/>
          <w:color w:val="auto"/>
          <w:sz w:val="22"/>
          <w:szCs w:val="22"/>
          <w:highlight w:val="none"/>
          <w:lang w:val="en-US" w:eastAsia="zh-CN"/>
        </w:rPr>
        <w:tab/>
      </w: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PAGEREF _Toc508785488 \h </w:instrText>
      </w:r>
      <w:r>
        <w:rPr>
          <w:rFonts w:hint="eastAsia" w:ascii="新宋体" w:hAnsi="新宋体" w:eastAsia="新宋体" w:cs="新宋体"/>
          <w:color w:val="auto"/>
          <w:sz w:val="22"/>
          <w:szCs w:val="22"/>
          <w:highlight w:val="none"/>
          <w:lang w:val="en-US" w:eastAsia="zh-CN"/>
        </w:rPr>
        <w:fldChar w:fldCharType="separate"/>
      </w:r>
      <w:r>
        <w:rPr>
          <w:rFonts w:hint="eastAsia" w:ascii="新宋体" w:hAnsi="新宋体" w:eastAsia="新宋体" w:cs="新宋体"/>
          <w:color w:val="auto"/>
          <w:sz w:val="22"/>
          <w:szCs w:val="22"/>
          <w:highlight w:val="none"/>
          <w:lang w:val="en-US" w:eastAsia="zh-CN"/>
        </w:rPr>
        <w:t>31</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fldChar w:fldCharType="end"/>
      </w:r>
    </w:p>
    <w:p>
      <w:pPr>
        <w:pStyle w:val="37"/>
        <w:tabs>
          <w:tab w:val="right" w:leader="dot" w:pos="9344"/>
        </w:tabs>
        <w:spacing w:line="480" w:lineRule="auto"/>
        <w:ind w:left="752" w:hanging="752"/>
        <w:rPr>
          <w:rFonts w:hint="eastAsia" w:ascii="新宋体" w:hAnsi="新宋体" w:eastAsia="新宋体" w:cs="新宋体"/>
          <w:color w:val="auto"/>
          <w:sz w:val="22"/>
          <w:szCs w:val="22"/>
          <w:highlight w:val="none"/>
          <w:lang w:val="en-US" w:eastAsia="zh-CN"/>
        </w:rPr>
      </w:pPr>
      <w:r>
        <w:rPr>
          <w:color w:val="auto"/>
          <w:highlight w:val="none"/>
        </w:rPr>
        <w:fldChar w:fldCharType="begin"/>
      </w:r>
      <w:r>
        <w:rPr>
          <w:color w:val="auto"/>
          <w:highlight w:val="none"/>
        </w:rPr>
        <w:instrText xml:space="preserve"> HYPERLINK \l "_Toc508785489" </w:instrText>
      </w:r>
      <w:r>
        <w:rPr>
          <w:color w:val="auto"/>
          <w:highlight w:val="none"/>
        </w:rPr>
        <w:fldChar w:fldCharType="separate"/>
      </w:r>
      <w:r>
        <w:rPr>
          <w:rStyle w:val="59"/>
          <w:rFonts w:hint="eastAsia" w:ascii="新宋体" w:hAnsi="新宋体" w:eastAsia="新宋体" w:cs="新宋体"/>
          <w:color w:val="auto"/>
          <w:sz w:val="22"/>
          <w:szCs w:val="22"/>
          <w:highlight w:val="none"/>
          <w:lang w:val="en-US" w:eastAsia="zh-CN"/>
        </w:rPr>
        <w:t>第四部分   合同主要内容</w:t>
      </w:r>
      <w:r>
        <w:rPr>
          <w:rFonts w:hint="eastAsia" w:ascii="新宋体" w:hAnsi="新宋体" w:eastAsia="新宋体" w:cs="新宋体"/>
          <w:color w:val="auto"/>
          <w:sz w:val="22"/>
          <w:szCs w:val="22"/>
          <w:highlight w:val="none"/>
          <w:lang w:val="en-US" w:eastAsia="zh-CN"/>
        </w:rPr>
        <w:tab/>
      </w: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PAGEREF _Toc508785489 \h </w:instrText>
      </w:r>
      <w:r>
        <w:rPr>
          <w:rFonts w:hint="eastAsia" w:ascii="新宋体" w:hAnsi="新宋体" w:eastAsia="新宋体" w:cs="新宋体"/>
          <w:color w:val="auto"/>
          <w:sz w:val="22"/>
          <w:szCs w:val="22"/>
          <w:highlight w:val="none"/>
          <w:lang w:val="en-US" w:eastAsia="zh-CN"/>
        </w:rPr>
        <w:fldChar w:fldCharType="separate"/>
      </w:r>
      <w:r>
        <w:rPr>
          <w:rFonts w:hint="eastAsia" w:ascii="新宋体" w:hAnsi="新宋体" w:eastAsia="新宋体" w:cs="新宋体"/>
          <w:color w:val="auto"/>
          <w:sz w:val="22"/>
          <w:szCs w:val="22"/>
          <w:highlight w:val="none"/>
          <w:lang w:val="en-US" w:eastAsia="zh-CN"/>
        </w:rPr>
        <w:t>34</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fldChar w:fldCharType="end"/>
      </w:r>
    </w:p>
    <w:p>
      <w:pPr>
        <w:pStyle w:val="37"/>
        <w:tabs>
          <w:tab w:val="right" w:leader="dot" w:pos="9344"/>
        </w:tabs>
        <w:spacing w:line="480" w:lineRule="auto"/>
        <w:ind w:left="752" w:hanging="752"/>
        <w:rPr>
          <w:rFonts w:hint="eastAsia" w:ascii="新宋体" w:hAnsi="新宋体" w:eastAsia="新宋体" w:cs="新宋体"/>
          <w:color w:val="auto"/>
          <w:szCs w:val="22"/>
          <w:highlight w:val="none"/>
          <w:lang w:val="en-US" w:eastAsia="zh-CN"/>
        </w:rPr>
      </w:pPr>
      <w:r>
        <w:rPr>
          <w:color w:val="auto"/>
          <w:highlight w:val="none"/>
        </w:rPr>
        <w:fldChar w:fldCharType="begin"/>
      </w:r>
      <w:r>
        <w:rPr>
          <w:color w:val="auto"/>
          <w:highlight w:val="none"/>
        </w:rPr>
        <w:instrText xml:space="preserve"> HYPERLINK \l "_Toc508785490" </w:instrText>
      </w:r>
      <w:r>
        <w:rPr>
          <w:color w:val="auto"/>
          <w:highlight w:val="none"/>
        </w:rPr>
        <w:fldChar w:fldCharType="separate"/>
      </w:r>
      <w:r>
        <w:rPr>
          <w:rStyle w:val="59"/>
          <w:rFonts w:hint="eastAsia" w:ascii="新宋体" w:hAnsi="新宋体" w:eastAsia="新宋体" w:cs="新宋体"/>
          <w:color w:val="auto"/>
          <w:sz w:val="22"/>
          <w:szCs w:val="22"/>
          <w:highlight w:val="none"/>
          <w:lang w:val="en-US" w:eastAsia="zh-CN"/>
        </w:rPr>
        <w:t>第五部分   磋商响应文件格式</w:t>
      </w:r>
      <w:r>
        <w:rPr>
          <w:rFonts w:hint="eastAsia" w:ascii="新宋体" w:hAnsi="新宋体" w:eastAsia="新宋体" w:cs="新宋体"/>
          <w:color w:val="auto"/>
          <w:sz w:val="22"/>
          <w:szCs w:val="22"/>
          <w:highlight w:val="none"/>
          <w:lang w:val="en-US" w:eastAsia="zh-CN"/>
        </w:rPr>
        <w:tab/>
      </w: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PAGEREF _Toc508785490 \h </w:instrText>
      </w:r>
      <w:r>
        <w:rPr>
          <w:rFonts w:hint="eastAsia" w:ascii="新宋体" w:hAnsi="新宋体" w:eastAsia="新宋体" w:cs="新宋体"/>
          <w:color w:val="auto"/>
          <w:sz w:val="22"/>
          <w:szCs w:val="22"/>
          <w:highlight w:val="none"/>
          <w:lang w:val="en-US" w:eastAsia="zh-CN"/>
        </w:rPr>
        <w:fldChar w:fldCharType="separate"/>
      </w:r>
      <w:r>
        <w:rPr>
          <w:rFonts w:hint="eastAsia" w:ascii="新宋体" w:hAnsi="新宋体" w:eastAsia="新宋体" w:cs="新宋体"/>
          <w:color w:val="auto"/>
          <w:sz w:val="22"/>
          <w:szCs w:val="22"/>
          <w:highlight w:val="none"/>
          <w:lang w:val="en-US" w:eastAsia="zh-CN"/>
        </w:rPr>
        <w:t>34</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fldChar w:fldCharType="end"/>
      </w:r>
    </w:p>
    <w:p>
      <w:pPr>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end"/>
      </w:r>
    </w:p>
    <w:p>
      <w:pPr>
        <w:spacing w:line="480" w:lineRule="auto"/>
        <w:rPr>
          <w:rFonts w:hint="eastAsia" w:ascii="新宋体" w:hAnsi="新宋体" w:eastAsia="新宋体" w:cs="新宋体"/>
          <w:b/>
          <w:bCs/>
          <w:color w:val="auto"/>
          <w:szCs w:val="21"/>
          <w:highlight w:val="none"/>
          <w:u w:val="single"/>
        </w:rPr>
      </w:pPr>
      <w:r>
        <w:rPr>
          <w:rFonts w:hint="eastAsia" w:ascii="新宋体" w:hAnsi="新宋体" w:eastAsia="新宋体" w:cs="新宋体"/>
          <w:b/>
          <w:bCs/>
          <w:color w:val="auto"/>
          <w:szCs w:val="21"/>
          <w:highlight w:val="none"/>
          <w:u w:val="single"/>
        </w:rPr>
        <w:t>注：竞争性磋商采购文件中标“▲”且加下划线的为招标的实质性要求和条件，着重提醒各供应商必须响应。各供应商必须认真阅读和理解竞争性磋商采购文件中的每一个条款及要求，因误读竞争性磋商采购文件而造成的后果，采购人概不负责。</w:t>
      </w:r>
    </w:p>
    <w:p>
      <w:pPr>
        <w:spacing w:line="240" w:lineRule="atLeast"/>
        <w:jc w:val="center"/>
        <w:rPr>
          <w:rFonts w:hint="eastAsia" w:ascii="新宋体" w:hAnsi="新宋体" w:eastAsia="新宋体" w:cs="新宋体"/>
          <w:b/>
          <w:color w:val="auto"/>
          <w:szCs w:val="21"/>
          <w:highlight w:val="none"/>
        </w:rPr>
      </w:pPr>
    </w:p>
    <w:p>
      <w:pPr>
        <w:spacing w:line="240" w:lineRule="atLeast"/>
        <w:jc w:val="center"/>
        <w:rPr>
          <w:rFonts w:hint="eastAsia" w:ascii="新宋体" w:hAnsi="新宋体" w:eastAsia="新宋体" w:cs="新宋体"/>
          <w:b/>
          <w:color w:val="auto"/>
          <w:szCs w:val="21"/>
          <w:highlight w:val="none"/>
        </w:rPr>
      </w:pPr>
    </w:p>
    <w:p>
      <w:pPr>
        <w:spacing w:line="240" w:lineRule="atLeast"/>
        <w:jc w:val="center"/>
        <w:rPr>
          <w:rFonts w:hint="eastAsia" w:ascii="新宋体" w:hAnsi="新宋体" w:eastAsia="新宋体" w:cs="新宋体"/>
          <w:b/>
          <w:color w:val="auto"/>
          <w:szCs w:val="21"/>
          <w:highlight w:val="none"/>
        </w:rPr>
      </w:pPr>
    </w:p>
    <w:p>
      <w:pPr>
        <w:spacing w:line="240" w:lineRule="atLeast"/>
        <w:jc w:val="center"/>
        <w:rPr>
          <w:rFonts w:hint="eastAsia" w:ascii="新宋体" w:hAnsi="新宋体" w:eastAsia="新宋体" w:cs="新宋体"/>
          <w:b/>
          <w:color w:val="auto"/>
          <w:szCs w:val="21"/>
          <w:highlight w:val="none"/>
        </w:rPr>
      </w:pPr>
    </w:p>
    <w:p>
      <w:pPr>
        <w:spacing w:line="240" w:lineRule="atLeast"/>
        <w:jc w:val="center"/>
        <w:rPr>
          <w:rFonts w:hint="eastAsia" w:ascii="新宋体" w:hAnsi="新宋体" w:eastAsia="新宋体" w:cs="新宋体"/>
          <w:b/>
          <w:color w:val="auto"/>
          <w:szCs w:val="21"/>
          <w:highlight w:val="none"/>
        </w:rPr>
      </w:pPr>
    </w:p>
    <w:p>
      <w:pPr>
        <w:spacing w:line="240" w:lineRule="atLeast"/>
        <w:jc w:val="center"/>
        <w:rPr>
          <w:rFonts w:hint="eastAsia" w:ascii="新宋体" w:hAnsi="新宋体" w:eastAsia="新宋体" w:cs="新宋体"/>
          <w:b/>
          <w:color w:val="auto"/>
          <w:szCs w:val="21"/>
          <w:highlight w:val="none"/>
        </w:rPr>
      </w:pPr>
    </w:p>
    <w:p>
      <w:pPr>
        <w:spacing w:line="240" w:lineRule="atLeast"/>
        <w:jc w:val="center"/>
        <w:rPr>
          <w:rFonts w:hint="eastAsia" w:ascii="新宋体" w:hAnsi="新宋体" w:eastAsia="新宋体" w:cs="新宋体"/>
          <w:b/>
          <w:color w:val="auto"/>
          <w:szCs w:val="21"/>
          <w:highlight w:val="none"/>
        </w:rPr>
      </w:pPr>
    </w:p>
    <w:p>
      <w:pPr>
        <w:spacing w:line="240" w:lineRule="atLeast"/>
        <w:jc w:val="center"/>
        <w:rPr>
          <w:rFonts w:hint="eastAsia" w:ascii="新宋体" w:hAnsi="新宋体" w:eastAsia="新宋体" w:cs="新宋体"/>
          <w:b/>
          <w:color w:val="auto"/>
          <w:szCs w:val="21"/>
          <w:highlight w:val="none"/>
        </w:rPr>
      </w:pPr>
    </w:p>
    <w:p>
      <w:pPr>
        <w:pStyle w:val="2"/>
        <w:rPr>
          <w:rFonts w:hint="eastAsia" w:ascii="新宋体" w:hAnsi="新宋体" w:eastAsia="新宋体" w:cs="新宋体"/>
          <w:color w:val="auto"/>
          <w:sz w:val="36"/>
          <w:szCs w:val="36"/>
          <w:highlight w:val="none"/>
        </w:rPr>
      </w:pPr>
      <w:bookmarkStart w:id="0" w:name="_Toc508785478"/>
      <w:bookmarkStart w:id="1" w:name="_Toc363576971"/>
      <w:bookmarkStart w:id="2" w:name="_Toc361035134"/>
      <w:bookmarkStart w:id="3" w:name="_Toc445914867"/>
      <w:r>
        <w:rPr>
          <w:rFonts w:hint="eastAsia" w:ascii="新宋体" w:hAnsi="新宋体" w:eastAsia="新宋体" w:cs="新宋体"/>
          <w:color w:val="auto"/>
          <w:sz w:val="36"/>
          <w:szCs w:val="36"/>
          <w:highlight w:val="none"/>
          <w:lang w:val="en-US" w:eastAsia="zh-CN"/>
        </w:rPr>
        <w:t xml:space="preserve"> </w:t>
      </w:r>
      <w:r>
        <w:rPr>
          <w:rFonts w:hint="eastAsia" w:ascii="新宋体" w:hAnsi="新宋体" w:eastAsia="新宋体" w:cs="新宋体"/>
          <w:color w:val="auto"/>
          <w:sz w:val="36"/>
          <w:szCs w:val="36"/>
          <w:highlight w:val="none"/>
        </w:rPr>
        <w:t>关于温州医科大学附属口腔医院</w:t>
      </w:r>
      <w:r>
        <w:rPr>
          <w:rFonts w:hint="eastAsia" w:ascii="新宋体" w:hAnsi="新宋体" w:eastAsia="新宋体" w:cs="新宋体"/>
          <w:color w:val="auto"/>
          <w:sz w:val="36"/>
          <w:szCs w:val="36"/>
          <w:highlight w:val="none"/>
          <w:lang w:eastAsia="zh-CN"/>
        </w:rPr>
        <w:t>成本软件</w:t>
      </w:r>
      <w:r>
        <w:rPr>
          <w:rFonts w:hint="eastAsia" w:ascii="新宋体" w:hAnsi="新宋体" w:eastAsia="新宋体" w:cs="新宋体"/>
          <w:color w:val="auto"/>
          <w:sz w:val="36"/>
          <w:szCs w:val="36"/>
          <w:highlight w:val="none"/>
        </w:rPr>
        <w:t>项目的</w:t>
      </w:r>
    </w:p>
    <w:p>
      <w:pPr>
        <w:pStyle w:val="2"/>
        <w:rPr>
          <w:rFonts w:hint="eastAsia" w:ascii="新宋体" w:hAnsi="新宋体" w:eastAsia="新宋体" w:cs="新宋体"/>
          <w:b w:val="0"/>
          <w:bCs w:val="0"/>
          <w:color w:val="auto"/>
          <w:kern w:val="0"/>
          <w:sz w:val="30"/>
          <w:szCs w:val="30"/>
          <w:highlight w:val="none"/>
        </w:rPr>
      </w:pPr>
      <w:r>
        <w:rPr>
          <w:rFonts w:hint="eastAsia" w:ascii="新宋体" w:hAnsi="新宋体" w:eastAsia="新宋体" w:cs="新宋体"/>
          <w:color w:val="auto"/>
          <w:sz w:val="36"/>
          <w:szCs w:val="36"/>
          <w:highlight w:val="none"/>
        </w:rPr>
        <w:t>竞争性磋商采购公告</w:t>
      </w:r>
      <w:bookmarkEnd w:id="0"/>
    </w:p>
    <w:p>
      <w:pPr>
        <w:widowControl/>
        <w:spacing w:before="60" w:after="60" w:line="400" w:lineRule="exact"/>
        <w:ind w:left="61" w:leftChars="29" w:right="60"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浙江省成套招标代理有限公司受温州医科大学附属口腔医院委托，就成本软件项目以竞争性磋商采购方式进行采购，欢迎国内合格的供应商前来磋商。</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一、项目编号：CTZB-F180928CWB-1 </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二、采购类型：非政府采购。</w:t>
      </w:r>
    </w:p>
    <w:p>
      <w:pPr>
        <w:widowControl/>
        <w:spacing w:before="60" w:after="60" w:line="400" w:lineRule="exact"/>
        <w:ind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三、采购项目概况（内容、数量、简要说明等）：</w:t>
      </w:r>
    </w:p>
    <w:tbl>
      <w:tblPr>
        <w:tblStyle w:val="66"/>
        <w:tblW w:w="9900" w:type="dxa"/>
        <w:tblInd w:w="0" w:type="dxa"/>
        <w:tblLayout w:type="fixed"/>
        <w:tblCellMar>
          <w:top w:w="0" w:type="dxa"/>
          <w:left w:w="108" w:type="dxa"/>
          <w:bottom w:w="0" w:type="dxa"/>
          <w:right w:w="108" w:type="dxa"/>
        </w:tblCellMar>
      </w:tblPr>
      <w:tblGrid>
        <w:gridCol w:w="493"/>
        <w:gridCol w:w="1569"/>
        <w:gridCol w:w="773"/>
        <w:gridCol w:w="1155"/>
        <w:gridCol w:w="5910"/>
      </w:tblGrid>
      <w:tr>
        <w:tblPrEx>
          <w:tblLayout w:type="fixed"/>
          <w:tblCellMar>
            <w:top w:w="0" w:type="dxa"/>
            <w:left w:w="108" w:type="dxa"/>
            <w:bottom w:w="0" w:type="dxa"/>
            <w:right w:w="108" w:type="dxa"/>
          </w:tblCellMar>
        </w:tblPrEx>
        <w:trPr>
          <w:trHeight w:val="510" w:hRule="atLeast"/>
        </w:trPr>
        <w:tc>
          <w:tcPr>
            <w:tcW w:w="4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新宋体" w:hAnsi="新宋体" w:eastAsia="新宋体" w:cs="新宋体"/>
                <w:color w:val="auto"/>
                <w:szCs w:val="20"/>
                <w:highlight w:val="none"/>
              </w:rPr>
            </w:pPr>
            <w:r>
              <w:rPr>
                <w:rFonts w:hint="eastAsia" w:ascii="新宋体" w:hAnsi="新宋体" w:eastAsia="新宋体" w:cs="新宋体"/>
                <w:color w:val="auto"/>
                <w:szCs w:val="20"/>
                <w:highlight w:val="none"/>
              </w:rPr>
              <w:t>序号</w:t>
            </w:r>
          </w:p>
        </w:tc>
        <w:tc>
          <w:tcPr>
            <w:tcW w:w="15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新宋体" w:hAnsi="新宋体" w:eastAsia="新宋体" w:cs="新宋体"/>
                <w:color w:val="auto"/>
                <w:szCs w:val="20"/>
                <w:highlight w:val="none"/>
              </w:rPr>
            </w:pPr>
            <w:r>
              <w:rPr>
                <w:rFonts w:hint="eastAsia" w:ascii="新宋体" w:hAnsi="新宋体" w:eastAsia="新宋体" w:cs="新宋体"/>
                <w:color w:val="auto"/>
                <w:szCs w:val="20"/>
                <w:highlight w:val="none"/>
              </w:rPr>
              <w:t>标项内容</w:t>
            </w:r>
          </w:p>
        </w:tc>
        <w:tc>
          <w:tcPr>
            <w:tcW w:w="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新宋体" w:hAnsi="新宋体" w:eastAsia="新宋体" w:cs="新宋体"/>
                <w:color w:val="auto"/>
                <w:szCs w:val="20"/>
                <w:highlight w:val="none"/>
              </w:rPr>
            </w:pPr>
            <w:r>
              <w:rPr>
                <w:rFonts w:hint="eastAsia" w:ascii="新宋体" w:hAnsi="新宋体" w:eastAsia="新宋体" w:cs="新宋体"/>
                <w:color w:val="auto"/>
                <w:szCs w:val="20"/>
                <w:highlight w:val="none"/>
              </w:rPr>
              <w:t>数量</w:t>
            </w: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新宋体" w:hAnsi="新宋体" w:eastAsia="新宋体" w:cs="新宋体"/>
                <w:color w:val="auto"/>
                <w:szCs w:val="20"/>
                <w:highlight w:val="none"/>
              </w:rPr>
            </w:pPr>
            <w:r>
              <w:rPr>
                <w:rFonts w:hint="eastAsia" w:ascii="新宋体" w:hAnsi="新宋体" w:eastAsia="新宋体" w:cs="新宋体"/>
                <w:color w:val="auto"/>
                <w:szCs w:val="20"/>
                <w:highlight w:val="none"/>
              </w:rPr>
              <w:t>预算金额</w:t>
            </w:r>
          </w:p>
          <w:p>
            <w:pPr>
              <w:jc w:val="center"/>
              <w:rPr>
                <w:rFonts w:hint="eastAsia" w:ascii="新宋体" w:hAnsi="新宋体" w:eastAsia="新宋体" w:cs="新宋体"/>
                <w:color w:val="auto"/>
                <w:szCs w:val="20"/>
                <w:highlight w:val="none"/>
              </w:rPr>
            </w:pPr>
            <w:r>
              <w:rPr>
                <w:rFonts w:hint="eastAsia" w:ascii="新宋体" w:hAnsi="新宋体" w:eastAsia="新宋体" w:cs="新宋体"/>
                <w:color w:val="auto"/>
                <w:szCs w:val="20"/>
                <w:highlight w:val="none"/>
              </w:rPr>
              <w:t>（万元）</w:t>
            </w:r>
          </w:p>
        </w:tc>
        <w:tc>
          <w:tcPr>
            <w:tcW w:w="5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新宋体" w:hAnsi="新宋体" w:eastAsia="新宋体" w:cs="新宋体"/>
                <w:color w:val="auto"/>
                <w:szCs w:val="20"/>
                <w:highlight w:val="none"/>
              </w:rPr>
            </w:pPr>
            <w:r>
              <w:rPr>
                <w:rFonts w:hint="eastAsia" w:ascii="新宋体" w:hAnsi="新宋体" w:eastAsia="新宋体" w:cs="新宋体"/>
                <w:color w:val="auto"/>
                <w:szCs w:val="20"/>
                <w:highlight w:val="none"/>
              </w:rPr>
              <w:t>简要说明</w:t>
            </w:r>
          </w:p>
        </w:tc>
      </w:tr>
      <w:tr>
        <w:tblPrEx>
          <w:tblLayout w:type="fixed"/>
          <w:tblCellMar>
            <w:top w:w="0" w:type="dxa"/>
            <w:left w:w="108" w:type="dxa"/>
            <w:bottom w:w="0" w:type="dxa"/>
            <w:right w:w="108" w:type="dxa"/>
          </w:tblCellMar>
        </w:tblPrEx>
        <w:trPr>
          <w:trHeight w:val="668" w:hRule="atLeast"/>
        </w:trPr>
        <w:tc>
          <w:tcPr>
            <w:tcW w:w="4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新宋体" w:hAnsi="新宋体" w:eastAsia="新宋体" w:cs="新宋体"/>
                <w:color w:val="auto"/>
                <w:szCs w:val="20"/>
                <w:highlight w:val="none"/>
              </w:rPr>
            </w:pPr>
            <w:r>
              <w:rPr>
                <w:rFonts w:hint="eastAsia" w:ascii="新宋体" w:hAnsi="新宋体" w:eastAsia="新宋体" w:cs="新宋体"/>
                <w:color w:val="auto"/>
                <w:szCs w:val="20"/>
                <w:highlight w:val="none"/>
              </w:rPr>
              <w:t>1</w:t>
            </w:r>
          </w:p>
        </w:tc>
        <w:tc>
          <w:tcPr>
            <w:tcW w:w="15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新宋体" w:hAnsi="新宋体" w:eastAsia="新宋体" w:cs="新宋体"/>
                <w:color w:val="auto"/>
                <w:szCs w:val="20"/>
                <w:highlight w:val="none"/>
              </w:rPr>
            </w:pPr>
            <w:r>
              <w:rPr>
                <w:rFonts w:hint="eastAsia" w:ascii="新宋体" w:hAnsi="新宋体" w:eastAsia="新宋体" w:cs="新宋体"/>
                <w:color w:val="auto"/>
                <w:szCs w:val="20"/>
                <w:highlight w:val="none"/>
              </w:rPr>
              <w:t>成本软件</w:t>
            </w:r>
          </w:p>
        </w:tc>
        <w:tc>
          <w:tcPr>
            <w:tcW w:w="7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新宋体" w:hAnsi="新宋体" w:eastAsia="新宋体" w:cs="新宋体"/>
                <w:color w:val="auto"/>
                <w:szCs w:val="20"/>
                <w:highlight w:val="none"/>
              </w:rPr>
            </w:pPr>
            <w:r>
              <w:rPr>
                <w:rFonts w:hint="eastAsia" w:ascii="新宋体" w:hAnsi="新宋体" w:eastAsia="新宋体" w:cs="新宋体"/>
                <w:color w:val="auto"/>
                <w:szCs w:val="20"/>
                <w:highlight w:val="none"/>
              </w:rPr>
              <w:t>1项</w:t>
            </w:r>
          </w:p>
        </w:tc>
        <w:tc>
          <w:tcPr>
            <w:tcW w:w="11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新宋体" w:hAnsi="新宋体" w:eastAsia="新宋体" w:cs="新宋体"/>
                <w:color w:val="auto"/>
                <w:szCs w:val="20"/>
                <w:highlight w:val="none"/>
              </w:rPr>
            </w:pPr>
            <w:r>
              <w:rPr>
                <w:rFonts w:hint="eastAsia" w:ascii="新宋体" w:hAnsi="新宋体" w:eastAsia="新宋体" w:cs="新宋体"/>
                <w:color w:val="auto"/>
                <w:szCs w:val="20"/>
                <w:highlight w:val="none"/>
              </w:rPr>
              <w:t>20</w:t>
            </w:r>
          </w:p>
        </w:tc>
        <w:tc>
          <w:tcPr>
            <w:tcW w:w="5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新宋体" w:hAnsi="新宋体" w:eastAsia="新宋体" w:cs="新宋体"/>
                <w:color w:val="auto"/>
                <w:szCs w:val="20"/>
                <w:highlight w:val="none"/>
              </w:rPr>
            </w:pPr>
            <w:r>
              <w:rPr>
                <w:rFonts w:hint="eastAsia" w:ascii="新宋体" w:hAnsi="新宋体" w:eastAsia="新宋体" w:cs="新宋体"/>
                <w:bCs/>
                <w:color w:val="auto"/>
                <w:kern w:val="0"/>
                <w:sz w:val="22"/>
                <w:szCs w:val="22"/>
                <w:highlight w:val="none"/>
              </w:rPr>
              <w:t>温州医科大学附属口腔医院成本软件的设计、开发、安装调试、售后服务等工作,详见采购文件第一部分。</w:t>
            </w:r>
          </w:p>
        </w:tc>
      </w:tr>
    </w:tbl>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四、供应商资格要求：</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1、基本条件：符合《中华人民共和国政府采购法》第二十二条的规定：</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1）具有独立承担民事责任的能力；</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2）具有良好的商业信誉和健全的财务会计制度；</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3）具有履行合同所必需的设备和专业技术能力；</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4）有依法缴纳税收和社会保障资金的良好记录；</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5）参加政府采购活动前三年内，在经营活动中没有重大违法记录；</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6）供应商未被列入失信被执行人名单、重大税收违法案件当事人名单、政府采购严重违法失信行为记录名单，信用信息以信用中国网站（www.creditchina.gov.cn）、中国政府采购网（www.ccgp.gov.cn）公布为准；</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7）单位负责人为同一人或者存在直接控股、管理关系的不同供应商，不得参加同一合同项下的政府采购活动；</w:t>
      </w:r>
    </w:p>
    <w:p>
      <w:pPr>
        <w:widowControl/>
        <w:spacing w:before="60" w:after="60" w:line="400" w:lineRule="exact"/>
        <w:ind w:left="60" w:right="60" w:firstLine="221" w:firstLineChars="100"/>
        <w:jc w:val="lef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8）为项目提供整体设计、规范编制或者项目管理、监理、检测等服务的供应商，不得参加该项目的投标；</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9）本项目不接受联合体。</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五、报名、购领采购文件时间及地点：</w:t>
      </w:r>
    </w:p>
    <w:p>
      <w:pPr>
        <w:widowControl/>
        <w:numPr>
          <w:ilvl w:val="0"/>
          <w:numId w:val="3"/>
        </w:numPr>
        <w:spacing w:line="440" w:lineRule="exact"/>
        <w:ind w:right="60"/>
        <w:jc w:val="lef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发售采购文件时间：2018年</w:t>
      </w:r>
      <w:r>
        <w:rPr>
          <w:rFonts w:hint="eastAsia" w:ascii="新宋体" w:hAnsi="新宋体" w:eastAsia="新宋体" w:cs="新宋体"/>
          <w:snapToGrid w:val="0"/>
          <w:color w:val="auto"/>
          <w:sz w:val="22"/>
          <w:szCs w:val="22"/>
          <w:highlight w:val="none"/>
          <w:lang w:val="en-US" w:eastAsia="zh-CN"/>
        </w:rPr>
        <w:t>9</w:t>
      </w:r>
      <w:r>
        <w:rPr>
          <w:rFonts w:hint="eastAsia" w:ascii="新宋体" w:hAnsi="新宋体" w:eastAsia="新宋体" w:cs="新宋体"/>
          <w:snapToGrid w:val="0"/>
          <w:color w:val="auto"/>
          <w:sz w:val="22"/>
          <w:szCs w:val="22"/>
          <w:highlight w:val="none"/>
        </w:rPr>
        <w:t>月</w:t>
      </w:r>
      <w:r>
        <w:rPr>
          <w:rFonts w:hint="eastAsia" w:ascii="新宋体" w:hAnsi="新宋体" w:eastAsia="新宋体" w:cs="新宋体"/>
          <w:snapToGrid w:val="0"/>
          <w:color w:val="auto"/>
          <w:sz w:val="22"/>
          <w:szCs w:val="22"/>
          <w:highlight w:val="none"/>
          <w:lang w:val="en-US" w:eastAsia="zh-CN"/>
        </w:rPr>
        <w:t>28</w:t>
      </w:r>
      <w:r>
        <w:rPr>
          <w:rFonts w:hint="eastAsia" w:ascii="新宋体" w:hAnsi="新宋体" w:eastAsia="新宋体" w:cs="新宋体"/>
          <w:snapToGrid w:val="0"/>
          <w:color w:val="auto"/>
          <w:sz w:val="22"/>
          <w:szCs w:val="22"/>
          <w:highlight w:val="none"/>
        </w:rPr>
        <w:t>日起至投标截止时间（未购买采购文件的潜在供应商拒绝参加投标。供应商如对采购文件有异议应按采购文件规定的时间提出，逾期提出的，采购组织机构可不予受理、答复）；</w:t>
      </w:r>
    </w:p>
    <w:p>
      <w:pPr>
        <w:widowControl/>
        <w:numPr>
          <w:ilvl w:val="0"/>
          <w:numId w:val="3"/>
        </w:numPr>
        <w:spacing w:line="440" w:lineRule="exact"/>
        <w:ind w:right="60"/>
        <w:jc w:val="lef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采购文件售价：人民币300元(售后不退)；</w:t>
      </w:r>
    </w:p>
    <w:p>
      <w:pPr>
        <w:widowControl/>
        <w:numPr>
          <w:ilvl w:val="0"/>
          <w:numId w:val="3"/>
        </w:numPr>
        <w:spacing w:line="440" w:lineRule="exact"/>
        <w:ind w:right="60"/>
        <w:jc w:val="lef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获取采购文件地点：</w:t>
      </w:r>
      <w:bookmarkStart w:id="4" w:name="B21_获取竞争性谈判文件地点"/>
      <w:r>
        <w:rPr>
          <w:rFonts w:hint="eastAsia" w:ascii="新宋体" w:hAnsi="新宋体" w:eastAsia="新宋体" w:cs="新宋体"/>
          <w:snapToGrid w:val="0"/>
          <w:color w:val="auto"/>
          <w:sz w:val="22"/>
          <w:szCs w:val="22"/>
          <w:highlight w:val="none"/>
        </w:rPr>
        <w:t>温州市温州大道展宏大厦B幢702室</w:t>
      </w:r>
      <w:bookmarkEnd w:id="4"/>
      <w:r>
        <w:rPr>
          <w:rFonts w:hint="eastAsia" w:ascii="新宋体" w:hAnsi="新宋体" w:eastAsia="新宋体" w:cs="新宋体"/>
          <w:snapToGrid w:val="0"/>
          <w:color w:val="auto"/>
          <w:sz w:val="22"/>
          <w:szCs w:val="22"/>
          <w:highlight w:val="none"/>
        </w:rPr>
        <w:t>。</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六、投标截止时间：2018年</w:t>
      </w:r>
      <w:r>
        <w:rPr>
          <w:rFonts w:hint="eastAsia" w:ascii="新宋体" w:hAnsi="新宋体" w:eastAsia="新宋体" w:cs="新宋体"/>
          <w:bCs/>
          <w:color w:val="auto"/>
          <w:kern w:val="0"/>
          <w:sz w:val="22"/>
          <w:szCs w:val="22"/>
          <w:highlight w:val="none"/>
          <w:lang w:val="en-US" w:eastAsia="zh-CN"/>
        </w:rPr>
        <w:t>10</w:t>
      </w:r>
      <w:r>
        <w:rPr>
          <w:rFonts w:hint="eastAsia" w:ascii="新宋体" w:hAnsi="新宋体" w:eastAsia="新宋体" w:cs="新宋体"/>
          <w:bCs/>
          <w:color w:val="auto"/>
          <w:kern w:val="0"/>
          <w:sz w:val="22"/>
          <w:szCs w:val="22"/>
          <w:highlight w:val="none"/>
        </w:rPr>
        <w:t>月</w:t>
      </w:r>
      <w:r>
        <w:rPr>
          <w:rFonts w:hint="eastAsia" w:ascii="新宋体" w:hAnsi="新宋体" w:eastAsia="新宋体" w:cs="新宋体"/>
          <w:bCs/>
          <w:color w:val="auto"/>
          <w:kern w:val="0"/>
          <w:sz w:val="22"/>
          <w:szCs w:val="22"/>
          <w:highlight w:val="none"/>
          <w:lang w:val="en-US" w:eastAsia="zh-CN"/>
        </w:rPr>
        <w:t>24</w:t>
      </w:r>
      <w:r>
        <w:rPr>
          <w:rFonts w:hint="eastAsia" w:ascii="新宋体" w:hAnsi="新宋体" w:eastAsia="新宋体" w:cs="新宋体"/>
          <w:bCs/>
          <w:color w:val="auto"/>
          <w:kern w:val="0"/>
          <w:sz w:val="22"/>
          <w:szCs w:val="22"/>
          <w:highlight w:val="none"/>
        </w:rPr>
        <w:t>日1</w:t>
      </w:r>
      <w:r>
        <w:rPr>
          <w:rFonts w:hint="eastAsia" w:ascii="新宋体" w:hAnsi="新宋体" w:eastAsia="新宋体" w:cs="新宋体"/>
          <w:bCs/>
          <w:color w:val="auto"/>
          <w:kern w:val="0"/>
          <w:sz w:val="22"/>
          <w:szCs w:val="22"/>
          <w:highlight w:val="none"/>
          <w:lang w:val="en-US" w:eastAsia="zh-CN"/>
        </w:rPr>
        <w:t>4</w:t>
      </w:r>
      <w:r>
        <w:rPr>
          <w:rFonts w:hint="eastAsia" w:ascii="新宋体" w:hAnsi="新宋体" w:eastAsia="新宋体" w:cs="新宋体"/>
          <w:bCs/>
          <w:color w:val="auto"/>
          <w:kern w:val="0"/>
          <w:sz w:val="22"/>
          <w:szCs w:val="22"/>
          <w:highlight w:val="none"/>
        </w:rPr>
        <w:t>时00分(北京时间)。</w:t>
      </w:r>
    </w:p>
    <w:p>
      <w:pPr>
        <w:widowControl/>
        <w:spacing w:before="60" w:after="60" w:line="400" w:lineRule="exact"/>
        <w:ind w:left="600" w:leftChars="29" w:right="60" w:hanging="539" w:hangingChars="245"/>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七、磋商响应提交地点：温州市鹿城区学院西路373号(温州医科大学附属口腔医院三楼会议室)。</w:t>
      </w:r>
    </w:p>
    <w:p>
      <w:pPr>
        <w:widowControl/>
        <w:spacing w:before="60" w:after="60" w:line="400" w:lineRule="exact"/>
        <w:ind w:left="600" w:leftChars="29" w:right="60" w:hanging="539" w:hangingChars="245"/>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八、开标时间：2018年10月24日14时00分(北京时间)。</w:t>
      </w:r>
    </w:p>
    <w:p>
      <w:pPr>
        <w:widowControl/>
        <w:spacing w:before="60" w:after="60" w:line="400" w:lineRule="exact"/>
        <w:ind w:left="600" w:leftChars="29" w:right="60" w:hanging="539" w:hangingChars="245"/>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九、开标地点：温州市鹿城区学院西路373号(温州医科大学附属口腔医院三楼会议室)。</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十、投标保证金及交付方式：</w:t>
      </w:r>
    </w:p>
    <w:p>
      <w:pPr>
        <w:widowControl/>
        <w:spacing w:line="360" w:lineRule="auto"/>
        <w:ind w:firstLine="440" w:firstLineChars="200"/>
        <w:jc w:val="left"/>
        <w:rPr>
          <w:rFonts w:hint="eastAsia" w:ascii="新宋体" w:hAnsi="新宋体" w:eastAsia="新宋体" w:cs="新宋体"/>
          <w:bCs/>
          <w:color w:val="auto"/>
          <w:kern w:val="0"/>
          <w:sz w:val="22"/>
          <w:szCs w:val="22"/>
          <w:highlight w:val="none"/>
        </w:rPr>
      </w:pPr>
      <w:bookmarkStart w:id="5" w:name="B29_谈判保证金"/>
      <w:bookmarkEnd w:id="5"/>
      <w:r>
        <w:rPr>
          <w:rFonts w:hint="eastAsia" w:ascii="新宋体" w:hAnsi="新宋体" w:eastAsia="新宋体" w:cs="新宋体"/>
          <w:color w:val="auto"/>
          <w:kern w:val="0"/>
          <w:sz w:val="22"/>
          <w:szCs w:val="22"/>
          <w:highlight w:val="none"/>
        </w:rPr>
        <w:t>人民币肆仟元整，</w:t>
      </w:r>
      <w:r>
        <w:rPr>
          <w:rFonts w:hint="eastAsia" w:ascii="新宋体" w:hAnsi="新宋体" w:eastAsia="新宋体" w:cs="新宋体"/>
          <w:bCs/>
          <w:color w:val="auto"/>
          <w:kern w:val="0"/>
          <w:sz w:val="22"/>
          <w:szCs w:val="22"/>
          <w:highlight w:val="none"/>
        </w:rPr>
        <w:t>投标供应商须在投标截止时间前以银行转帐形式缴纳至指定账号,汇款凭证随同磋商响应文件一并提交给采购代理机构。</w:t>
      </w:r>
    </w:p>
    <w:p>
      <w:pPr>
        <w:widowControl/>
        <w:spacing w:line="360" w:lineRule="auto"/>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帐户名称：浙江省成套招标代理有限公司</w:t>
      </w:r>
    </w:p>
    <w:p>
      <w:pPr>
        <w:widowControl/>
        <w:spacing w:line="360" w:lineRule="auto"/>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开户银行：中信银行杭州西湖支行</w:t>
      </w:r>
    </w:p>
    <w:p>
      <w:pPr>
        <w:widowControl/>
        <w:spacing w:line="360" w:lineRule="auto"/>
        <w:ind w:left="60" w:right="60" w:firstLine="44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帐    号：7331610182600126385</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十一、其他事项：</w:t>
      </w:r>
    </w:p>
    <w:p>
      <w:pPr>
        <w:widowControl/>
        <w:spacing w:before="60" w:after="60" w:line="400" w:lineRule="exact"/>
        <w:ind w:left="62" w:right="62"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1、报名及购买采购文件时须提交以下文件资料（须装订成册）：</w:t>
      </w:r>
    </w:p>
    <w:p>
      <w:pPr>
        <w:widowControl/>
        <w:spacing w:before="60" w:after="60" w:line="400" w:lineRule="exact"/>
        <w:ind w:left="62" w:right="62"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1）投标报名申请表(请下载打印填写，加盖公章,见附件)；</w:t>
      </w:r>
    </w:p>
    <w:p>
      <w:pPr>
        <w:widowControl/>
        <w:spacing w:before="60" w:after="60" w:line="400" w:lineRule="exact"/>
        <w:ind w:left="62" w:right="62"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2）报名单位介绍信或授权书；</w:t>
      </w:r>
    </w:p>
    <w:p>
      <w:pPr>
        <w:widowControl/>
        <w:spacing w:before="60" w:after="60" w:line="400" w:lineRule="exact"/>
        <w:ind w:left="62" w:right="62"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3）有效的法人营业执照（复印件加盖公章）。</w:t>
      </w:r>
    </w:p>
    <w:p>
      <w:pPr>
        <w:widowControl/>
        <w:spacing w:before="60" w:after="60" w:line="400" w:lineRule="exact"/>
        <w:ind w:left="62" w:right="62"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书面报名资料提交地址：温州市温州大道展宏大厦2栋702室。</w:t>
      </w:r>
    </w:p>
    <w:p>
      <w:pPr>
        <w:widowControl/>
        <w:spacing w:before="60" w:after="60" w:line="400" w:lineRule="exact"/>
        <w:ind w:left="62" w:right="62"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2、采购公告期限：5个工作日，从公告在浙江政府采购网上发布的次日起算。</w:t>
      </w:r>
    </w:p>
    <w:p>
      <w:pPr>
        <w:widowControl/>
        <w:spacing w:before="60" w:after="60" w:line="400" w:lineRule="exact"/>
        <w:ind w:left="62" w:right="62"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3、供应商认为采购文件使自己的权益受到损害的，可以自收到采购文件之日（发售截止日之后收到采购文件的，以发售截止日为准）或者采购文件公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pPr>
        <w:widowControl/>
        <w:spacing w:before="60" w:after="60" w:line="400" w:lineRule="exact"/>
        <w:ind w:left="62" w:right="62" w:firstLine="440" w:firstLineChars="200"/>
        <w:jc w:val="left"/>
        <w:rPr>
          <w:rFonts w:hint="eastAsia" w:ascii="新宋体" w:hAnsi="新宋体" w:eastAsia="新宋体" w:cs="新宋体"/>
          <w:bCs/>
          <w:color w:val="auto"/>
          <w:kern w:val="0"/>
          <w:sz w:val="22"/>
          <w:szCs w:val="22"/>
          <w:highlight w:val="none"/>
        </w:rPr>
      </w:pPr>
      <w:bookmarkStart w:id="6" w:name="B38_其他事项"/>
      <w:r>
        <w:rPr>
          <w:rFonts w:hint="eastAsia" w:ascii="新宋体" w:hAnsi="新宋体" w:eastAsia="新宋体" w:cs="新宋体"/>
          <w:bCs/>
          <w:color w:val="auto"/>
          <w:kern w:val="0"/>
          <w:sz w:val="22"/>
          <w:szCs w:val="22"/>
          <w:highlight w:val="none"/>
        </w:rPr>
        <w:t>4、采购文件发售截止时间之后潜在供应商仍然可以购买采购文件，但该供应商如对采购文件有疑问应按采购文件规定的询疑截止时间前提出，逾期提出的，采购组织机构可以不予受理、答复</w:t>
      </w:r>
      <w:bookmarkEnd w:id="6"/>
      <w:r>
        <w:rPr>
          <w:rFonts w:hint="eastAsia" w:ascii="新宋体" w:hAnsi="新宋体" w:eastAsia="新宋体" w:cs="新宋体"/>
          <w:bCs/>
          <w:color w:val="auto"/>
          <w:kern w:val="0"/>
          <w:sz w:val="22"/>
          <w:szCs w:val="22"/>
          <w:highlight w:val="none"/>
        </w:rPr>
        <w:t>。</w:t>
      </w:r>
    </w:p>
    <w:p>
      <w:pPr>
        <w:autoSpaceDE w:val="0"/>
        <w:autoSpaceDN w:val="0"/>
        <w:adjustRightInd w:val="0"/>
        <w:spacing w:before="60" w:after="60" w:line="360" w:lineRule="auto"/>
        <w:ind w:left="62" w:right="62" w:firstLine="44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5</w:t>
      </w:r>
      <w:r>
        <w:rPr>
          <w:rFonts w:hint="eastAsia" w:ascii="新宋体" w:hAnsi="新宋体" w:eastAsia="新宋体" w:cs="新宋体"/>
          <w:color w:val="auto"/>
          <w:kern w:val="0"/>
          <w:sz w:val="22"/>
          <w:szCs w:val="22"/>
          <w:highlight w:val="none"/>
          <w:lang w:val="zh-CN"/>
        </w:rPr>
        <w:t>、书面质疑受理地点：温州市温州大道展宏大厦B幢702室，联系人：肖先生，联系电话：136</w:t>
      </w:r>
      <w:r>
        <w:rPr>
          <w:rFonts w:hint="eastAsia" w:ascii="新宋体" w:hAnsi="新宋体" w:eastAsia="新宋体" w:cs="新宋体"/>
          <w:color w:val="auto"/>
          <w:kern w:val="0"/>
          <w:sz w:val="22"/>
          <w:szCs w:val="22"/>
          <w:highlight w:val="none"/>
        </w:rPr>
        <w:t>06874516</w:t>
      </w:r>
      <w:r>
        <w:rPr>
          <w:rFonts w:hint="eastAsia" w:ascii="新宋体" w:hAnsi="新宋体" w:eastAsia="新宋体" w:cs="新宋体"/>
          <w:color w:val="auto"/>
          <w:kern w:val="0"/>
          <w:sz w:val="22"/>
          <w:szCs w:val="22"/>
          <w:highlight w:val="none"/>
          <w:lang w:val="zh-CN"/>
        </w:rPr>
        <w:t>。</w:t>
      </w:r>
    </w:p>
    <w:p>
      <w:pPr>
        <w:widowControl/>
        <w:spacing w:before="60" w:after="60" w:line="400" w:lineRule="exact"/>
        <w:ind w:left="62" w:right="62"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6</w:t>
      </w:r>
      <w:r>
        <w:rPr>
          <w:rFonts w:hint="eastAsia" w:ascii="新宋体" w:hAnsi="新宋体" w:eastAsia="新宋体" w:cs="新宋体"/>
          <w:color w:val="auto"/>
          <w:kern w:val="0"/>
          <w:sz w:val="22"/>
          <w:szCs w:val="22"/>
          <w:highlight w:val="none"/>
          <w:lang w:val="zh-CN"/>
        </w:rPr>
        <w:t>、采购监管部门：温州医科大学附属口腔医院纪检监察室，联系电话：0577-88066029。</w:t>
      </w:r>
    </w:p>
    <w:p>
      <w:pPr>
        <w:widowControl/>
        <w:spacing w:before="60" w:after="60" w:line="400" w:lineRule="exact"/>
        <w:ind w:left="62" w:right="62"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7、采购人名称：温州医科大学附属口腔医院 , 联系地址：温州市鹿城区学院西路373号</w:t>
      </w:r>
    </w:p>
    <w:p>
      <w:pPr>
        <w:widowControl/>
        <w:spacing w:before="60" w:after="60" w:line="400" w:lineRule="exact"/>
        <w:ind w:left="62" w:right="62" w:firstLine="880" w:firstLineChars="4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联系人：</w:t>
      </w:r>
      <w:r>
        <w:rPr>
          <w:rFonts w:hint="eastAsia" w:ascii="新宋体" w:hAnsi="新宋体" w:eastAsia="新宋体" w:cs="新宋体"/>
          <w:bCs/>
          <w:color w:val="auto"/>
          <w:kern w:val="0"/>
          <w:sz w:val="22"/>
          <w:szCs w:val="22"/>
          <w:highlight w:val="none"/>
          <w:lang w:eastAsia="zh-CN"/>
        </w:rPr>
        <w:t>黄</w:t>
      </w:r>
      <w:bookmarkStart w:id="129" w:name="_GoBack"/>
      <w:bookmarkEnd w:id="129"/>
      <w:r>
        <w:rPr>
          <w:rFonts w:hint="eastAsia" w:ascii="新宋体" w:hAnsi="新宋体" w:eastAsia="新宋体" w:cs="新宋体"/>
          <w:bCs/>
          <w:color w:val="auto"/>
          <w:kern w:val="0"/>
          <w:sz w:val="22"/>
          <w:szCs w:val="22"/>
          <w:highlight w:val="none"/>
        </w:rPr>
        <w:t>老师,联系电话：0577-88063061。</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十二、联系方式</w:t>
      </w:r>
    </w:p>
    <w:p>
      <w:pPr>
        <w:widowControl/>
        <w:spacing w:before="60" w:after="60" w:line="400" w:lineRule="exact"/>
        <w:ind w:left="62" w:right="62"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采购代理机构名称：浙江省成套招标代理有限公司。</w:t>
      </w:r>
    </w:p>
    <w:p>
      <w:pPr>
        <w:widowControl/>
        <w:spacing w:before="60" w:after="60" w:line="400" w:lineRule="exact"/>
        <w:ind w:left="62" w:right="62"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地 址：温州市温州大道展宏大厦B幢702室。</w:t>
      </w:r>
    </w:p>
    <w:p>
      <w:pPr>
        <w:widowControl/>
        <w:spacing w:before="60" w:after="60" w:line="400" w:lineRule="exact"/>
        <w:ind w:left="62" w:right="62"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联系人：邵先生 电话：18967751006。</w:t>
      </w:r>
    </w:p>
    <w:p>
      <w:pPr>
        <w:widowControl/>
        <w:spacing w:before="60" w:after="60" w:line="400" w:lineRule="exact"/>
        <w:ind w:left="62" w:right="62" w:firstLine="440" w:firstLineChars="2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传真： 0577-86071211。</w:t>
      </w:r>
    </w:p>
    <w:bookmarkEnd w:id="1"/>
    <w:bookmarkEnd w:id="2"/>
    <w:bookmarkEnd w:id="3"/>
    <w:p>
      <w:pPr>
        <w:pStyle w:val="2"/>
        <w:spacing w:line="360" w:lineRule="auto"/>
        <w:rPr>
          <w:rFonts w:hint="eastAsia" w:ascii="新宋体" w:hAnsi="新宋体" w:eastAsia="新宋体" w:cs="新宋体"/>
          <w:b w:val="0"/>
          <w:color w:val="auto"/>
          <w:sz w:val="36"/>
          <w:szCs w:val="36"/>
          <w:highlight w:val="none"/>
        </w:rPr>
      </w:pPr>
      <w:r>
        <w:rPr>
          <w:rFonts w:hint="eastAsia" w:ascii="新宋体" w:hAnsi="新宋体" w:eastAsia="新宋体" w:cs="新宋体"/>
          <w:b w:val="0"/>
          <w:color w:val="auto"/>
          <w:sz w:val="36"/>
          <w:szCs w:val="36"/>
          <w:highlight w:val="none"/>
        </w:rPr>
        <w:br w:type="page"/>
      </w:r>
      <w:bookmarkStart w:id="7" w:name="_Toc508785479"/>
      <w:r>
        <w:rPr>
          <w:rFonts w:hint="eastAsia" w:ascii="新宋体" w:hAnsi="新宋体" w:eastAsia="新宋体" w:cs="新宋体"/>
          <w:color w:val="auto"/>
          <w:sz w:val="36"/>
          <w:szCs w:val="36"/>
          <w:highlight w:val="none"/>
        </w:rPr>
        <w:t>第一部分    采购内容及需求</w:t>
      </w:r>
      <w:bookmarkEnd w:id="7"/>
    </w:p>
    <w:p>
      <w:pPr>
        <w:spacing w:line="360" w:lineRule="auto"/>
        <w:rPr>
          <w:rFonts w:hint="eastAsia" w:ascii="新宋体" w:hAnsi="新宋体" w:eastAsia="新宋体" w:cs="新宋体"/>
          <w:b/>
          <w:color w:val="auto"/>
          <w:sz w:val="24"/>
          <w:highlight w:val="none"/>
        </w:rPr>
      </w:pPr>
      <w:bookmarkStart w:id="8" w:name="_Toc508785480"/>
      <w:r>
        <w:rPr>
          <w:rFonts w:hint="eastAsia" w:ascii="新宋体" w:hAnsi="新宋体" w:eastAsia="新宋体" w:cs="新宋体"/>
          <w:b/>
          <w:color w:val="auto"/>
          <w:sz w:val="24"/>
          <w:highlight w:val="none"/>
        </w:rPr>
        <w:t>一、采购原则及规范</w:t>
      </w:r>
    </w:p>
    <w:p>
      <w:pPr>
        <w:pStyle w:val="32"/>
        <w:tabs>
          <w:tab w:val="left" w:pos="54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1、浙江省成套招标代理有限公司就</w:t>
      </w:r>
      <w:r>
        <w:rPr>
          <w:rFonts w:hint="eastAsia" w:ascii="新宋体" w:hAnsi="新宋体" w:eastAsia="新宋体" w:cs="新宋体"/>
          <w:color w:val="auto"/>
          <w:sz w:val="22"/>
          <w:szCs w:val="22"/>
          <w:highlight w:val="none"/>
          <w:lang w:eastAsia="zh-CN"/>
        </w:rPr>
        <w:t>温州医科大学附属口腔医院</w:t>
      </w:r>
      <w:r>
        <w:rPr>
          <w:rFonts w:hint="eastAsia" w:ascii="新宋体" w:hAnsi="新宋体" w:eastAsia="新宋体" w:cs="新宋体"/>
          <w:color w:val="auto"/>
          <w:sz w:val="22"/>
          <w:szCs w:val="22"/>
          <w:highlight w:val="none"/>
        </w:rPr>
        <w:t>需</w:t>
      </w:r>
      <w:r>
        <w:rPr>
          <w:rFonts w:hint="eastAsia" w:ascii="新宋体" w:hAnsi="新宋体" w:eastAsia="新宋体" w:cs="新宋体"/>
          <w:color w:val="auto"/>
          <w:sz w:val="22"/>
          <w:szCs w:val="22"/>
          <w:highlight w:val="none"/>
          <w:lang w:eastAsia="zh-CN"/>
        </w:rPr>
        <w:t>成本软件</w:t>
      </w:r>
      <w:r>
        <w:rPr>
          <w:rFonts w:hint="eastAsia" w:ascii="新宋体" w:hAnsi="新宋体" w:eastAsia="新宋体" w:cs="新宋体"/>
          <w:color w:val="auto"/>
          <w:sz w:val="22"/>
          <w:szCs w:val="22"/>
          <w:highlight w:val="none"/>
        </w:rPr>
        <w:t>项目以竞争性磋商采购进行采购。供应商所</w:t>
      </w:r>
      <w:r>
        <w:rPr>
          <w:rFonts w:hint="eastAsia" w:ascii="新宋体" w:hAnsi="新宋体" w:eastAsia="新宋体" w:cs="新宋体"/>
          <w:color w:val="auto"/>
          <w:sz w:val="22"/>
          <w:szCs w:val="22"/>
          <w:highlight w:val="none"/>
          <w:lang w:eastAsia="zh-CN"/>
        </w:rPr>
        <w:t>提供的服务</w:t>
      </w:r>
      <w:r>
        <w:rPr>
          <w:rFonts w:hint="eastAsia" w:ascii="新宋体" w:hAnsi="新宋体" w:eastAsia="新宋体" w:cs="新宋体"/>
          <w:color w:val="auto"/>
          <w:sz w:val="22"/>
          <w:szCs w:val="22"/>
          <w:highlight w:val="none"/>
        </w:rPr>
        <w:t>必须达到采购文件所规定的使用功能及要求（采购文件内另有说明的除外）。</w:t>
      </w:r>
    </w:p>
    <w:p>
      <w:pPr>
        <w:pStyle w:val="32"/>
        <w:tabs>
          <w:tab w:val="left" w:pos="540"/>
        </w:tabs>
        <w:spacing w:line="360" w:lineRule="auto"/>
        <w:rPr>
          <w:rFonts w:hint="eastAsia" w:ascii="新宋体" w:hAnsi="新宋体" w:eastAsia="新宋体" w:cs="新宋体"/>
          <w:bCs/>
          <w:color w:val="auto"/>
          <w:kern w:val="0"/>
          <w:sz w:val="22"/>
          <w:szCs w:val="22"/>
          <w:highlight w:val="none"/>
          <w:u w:val="single"/>
        </w:rPr>
      </w:pPr>
      <w:r>
        <w:rPr>
          <w:rFonts w:hint="eastAsia" w:ascii="新宋体" w:hAnsi="新宋体" w:eastAsia="新宋体" w:cs="新宋体"/>
          <w:bCs/>
          <w:color w:val="auto"/>
          <w:kern w:val="0"/>
          <w:sz w:val="22"/>
          <w:szCs w:val="22"/>
          <w:highlight w:val="none"/>
        </w:rPr>
        <w:t>2、</w:t>
      </w:r>
      <w:r>
        <w:rPr>
          <w:rFonts w:hint="eastAsia" w:ascii="新宋体" w:hAnsi="新宋体" w:eastAsia="新宋体" w:cs="新宋体"/>
          <w:bCs/>
          <w:color w:val="auto"/>
          <w:kern w:val="0"/>
          <w:sz w:val="22"/>
          <w:szCs w:val="22"/>
          <w:highlight w:val="none"/>
          <w:u w:val="single"/>
        </w:rPr>
        <w:t>▲本次招标</w:t>
      </w:r>
      <w:r>
        <w:rPr>
          <w:rFonts w:hint="eastAsia" w:ascii="新宋体" w:hAnsi="新宋体" w:eastAsia="新宋体" w:cs="新宋体"/>
          <w:bCs/>
          <w:color w:val="auto"/>
          <w:kern w:val="0"/>
          <w:sz w:val="22"/>
          <w:szCs w:val="22"/>
          <w:highlight w:val="none"/>
          <w:u w:val="single"/>
          <w:lang w:eastAsia="zh-CN"/>
        </w:rPr>
        <w:t>只设一个</w:t>
      </w:r>
      <w:r>
        <w:rPr>
          <w:rFonts w:hint="eastAsia" w:ascii="新宋体" w:hAnsi="新宋体" w:eastAsia="新宋体" w:cs="新宋体"/>
          <w:bCs/>
          <w:color w:val="auto"/>
          <w:kern w:val="0"/>
          <w:sz w:val="22"/>
          <w:szCs w:val="22"/>
          <w:highlight w:val="none"/>
          <w:u w:val="single"/>
        </w:rPr>
        <w:t>标</w:t>
      </w:r>
      <w:r>
        <w:rPr>
          <w:rFonts w:hint="eastAsia" w:ascii="新宋体" w:hAnsi="新宋体" w:eastAsia="新宋体" w:cs="新宋体"/>
          <w:bCs/>
          <w:color w:val="auto"/>
          <w:kern w:val="0"/>
          <w:sz w:val="22"/>
          <w:szCs w:val="22"/>
          <w:highlight w:val="none"/>
          <w:u w:val="single"/>
          <w:lang w:eastAsia="zh-CN"/>
        </w:rPr>
        <w:t>项</w:t>
      </w:r>
      <w:r>
        <w:rPr>
          <w:rFonts w:hint="eastAsia" w:ascii="新宋体" w:hAnsi="新宋体" w:eastAsia="新宋体" w:cs="新宋体"/>
          <w:bCs/>
          <w:color w:val="auto"/>
          <w:kern w:val="0"/>
          <w:sz w:val="22"/>
          <w:szCs w:val="22"/>
          <w:highlight w:val="none"/>
          <w:u w:val="single"/>
        </w:rPr>
        <w:t>，投标供应商必须对全部采购内容进行投标，不允许仅对部分内容进行投标报价。</w:t>
      </w:r>
    </w:p>
    <w:p>
      <w:pPr>
        <w:pStyle w:val="32"/>
        <w:tabs>
          <w:tab w:val="left" w:pos="54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、所涉及</w:t>
      </w:r>
      <w:r>
        <w:rPr>
          <w:rFonts w:hint="eastAsia" w:ascii="新宋体" w:hAnsi="新宋体" w:eastAsia="新宋体" w:cs="新宋体"/>
          <w:color w:val="auto"/>
          <w:sz w:val="22"/>
          <w:szCs w:val="22"/>
          <w:highlight w:val="none"/>
          <w:lang w:eastAsia="zh-CN"/>
        </w:rPr>
        <w:t>服务</w:t>
      </w:r>
      <w:r>
        <w:rPr>
          <w:rFonts w:hint="eastAsia" w:ascii="新宋体" w:hAnsi="新宋体" w:eastAsia="新宋体" w:cs="新宋体"/>
          <w:color w:val="auto"/>
          <w:sz w:val="22"/>
          <w:szCs w:val="22"/>
          <w:highlight w:val="none"/>
        </w:rPr>
        <w:t>的标准、规范，验收标准,应符合国家有关条例及规范，如有新的标准应采纳新标准，如是国外相应标准应得到</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人认可。</w:t>
      </w:r>
    </w:p>
    <w:p>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二、采购内容及要求</w:t>
      </w:r>
    </w:p>
    <w:p>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一）、成本软件技术参数</w:t>
      </w:r>
    </w:p>
    <w:p>
      <w:pPr>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符合国家《财务制度及会计制度》有关医院全成本与效益核算管理内容和要求。遵循2012年1月新《医院财务制度》，软件系统实现3张标准数据报表。国卫办财务发〔2015〕39号《县级公立医院成本核算操作办法》，软件系统实现14张标准数据报表。</w:t>
      </w:r>
    </w:p>
    <w:p>
      <w:pPr>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2、符合浙江省卫生行政主管部门有关医院成本与效益核算管理内容和要求。</w:t>
      </w:r>
    </w:p>
    <w:p>
      <w:pPr>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3、符合医院内部自身财务管理与医院经济运营决策管理的实际需要。</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4、支持多院区、多种类型核算单元体系、多个客户端网络版最新程序。</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院科全成本核算软件系统实现临床服务类科室、医疗技术类科室、辅助服务类科室、行政后勤类科室体系的直接成本直接归集、间接成本采用“四类三级”次序分摊的院科二级全成本核算，成本核算科室单元、核算方案、数据采集、数据报表都可以根据用户需要进行通用、灵活的系统自定义。最终形成院科直接成本、间接成本、全成本等数据分析报表，充分利用医疗资源，开源节流、增效节支，真实客观反映各个科室成本效益、效率运营数据情况，提高决策的科学化水平；使医务人员树立成本意识，提高资源利用率，降低医疗成本，从而在激烈的医疗市场竞争中赢得先机；提高医院的经济效益和社会效益，提升医院运营管理综合竞争力。</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院科效益核算系统将临床科室、医技科室按开单、执行进行收入数据自定义采集、计算，产生不同管理视角下的业务科室收支结余分析。形成按月、季、年度进行科室信息、成本、收入、结余、效益、以及人均、诊次、床日等专项指标的数据统计报表分析，还可以自定义结构、排名、趋势、对比、同比、累计等多种类型分析报表，并支持图表统计分析。真实、客观地反映医院经营状况，从医院经营决策的层面分析医院的医院资源配置、经济状况、运营能力和赢利能力。为医院经营决策提供重要的依据，帮助医院建立起科学的绩效考核和评估体系，促进医院健康、科学、可持续化发展。</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7、通用数据采集工具：实现与医院 HIS、财务、总务、设备、供应室、病案、人力资源等信息系统数据接口自动采集，与财务软件实现无缝连接，充分实现数据集成共享。</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自定义报表工具：支持根据经济运营管理需求，增加多维度多视角的统计分析报表，报表类型支持行列结构、对比、同比、排名、趋势、累计、成本性态、以及图表分析等综合运营成本核算数据报表，真实、客观地反映医院经营状况，从医院经营决策的层面分析医院的医院资源配置、经济状况、运营能力和赢利能力，建立健全科学的绩效考核和评估体系，为医院经营决策提供重要的数据支持。</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医院经济运营管理一体化，以全成本管理为抓手，全面预算管理为主线、绩效管理为杠杆、财务管理为基础、逐步实现的医院经济运营管理平台体系建设，为现代医院精细化、科学化、精准化、健康可持续运营决策管理提供必要的数据支持。</w:t>
      </w: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二）、成本软件由院科全成本核算系统和院科效益核算系统构成</w:t>
      </w:r>
    </w:p>
    <w:p>
      <w:pPr>
        <w:pStyle w:val="3"/>
        <w:rPr>
          <w:color w:val="auto"/>
          <w:sz w:val="22"/>
          <w:szCs w:val="22"/>
          <w:highlight w:val="none"/>
        </w:rPr>
      </w:pPr>
      <w:r>
        <w:rPr>
          <w:rFonts w:hint="eastAsia"/>
          <w:color w:val="auto"/>
          <w:sz w:val="22"/>
          <w:szCs w:val="22"/>
          <w:highlight w:val="none"/>
          <w:lang w:val="en-US" w:eastAsia="zh-CN"/>
        </w:rPr>
        <w:t>1、院</w:t>
      </w:r>
      <w:r>
        <w:rPr>
          <w:rFonts w:hint="eastAsia"/>
          <w:color w:val="auto"/>
          <w:sz w:val="22"/>
          <w:szCs w:val="22"/>
          <w:highlight w:val="none"/>
        </w:rPr>
        <w:t>科全成本核算系统</w:t>
      </w:r>
    </w:p>
    <w:tbl>
      <w:tblPr>
        <w:tblStyle w:val="66"/>
        <w:tblW w:w="9339" w:type="dxa"/>
        <w:jc w:val="center"/>
        <w:tblInd w:w="0" w:type="dxa"/>
        <w:tblLayout w:type="fixed"/>
        <w:tblCellMar>
          <w:top w:w="0" w:type="dxa"/>
          <w:left w:w="108" w:type="dxa"/>
          <w:bottom w:w="0" w:type="dxa"/>
          <w:right w:w="108" w:type="dxa"/>
        </w:tblCellMar>
      </w:tblPr>
      <w:tblGrid>
        <w:gridCol w:w="1386"/>
        <w:gridCol w:w="3402"/>
        <w:gridCol w:w="4551"/>
      </w:tblGrid>
      <w:tr>
        <w:tblPrEx>
          <w:tblLayout w:type="fixed"/>
          <w:tblCellMar>
            <w:top w:w="0" w:type="dxa"/>
            <w:left w:w="108" w:type="dxa"/>
            <w:bottom w:w="0" w:type="dxa"/>
            <w:right w:w="108" w:type="dxa"/>
          </w:tblCellMar>
        </w:tblPrEx>
        <w:trPr>
          <w:trHeight w:val="57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系统名称</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功能模块名称</w:t>
            </w:r>
          </w:p>
        </w:tc>
        <w:tc>
          <w:tcPr>
            <w:tcW w:w="45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功能内容说明</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Arial"/>
                <w:b/>
                <w:bCs/>
                <w:color w:val="auto"/>
                <w:kern w:val="0"/>
                <w:sz w:val="24"/>
                <w:highlight w:val="none"/>
              </w:rPr>
            </w:pPr>
          </w:p>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院</w:t>
            </w:r>
          </w:p>
          <w:p>
            <w:pPr>
              <w:widowControl/>
              <w:jc w:val="center"/>
              <w:rPr>
                <w:rFonts w:hint="eastAsia" w:ascii="宋体" w:hAnsi="宋体" w:cs="Arial"/>
                <w:b/>
                <w:bCs/>
                <w:color w:val="auto"/>
                <w:kern w:val="0"/>
                <w:sz w:val="24"/>
                <w:highlight w:val="none"/>
              </w:rPr>
            </w:pPr>
          </w:p>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科</w:t>
            </w:r>
          </w:p>
          <w:p>
            <w:pPr>
              <w:widowControl/>
              <w:jc w:val="center"/>
              <w:rPr>
                <w:rFonts w:hint="eastAsia" w:ascii="宋体" w:hAnsi="宋体" w:cs="Arial"/>
                <w:b/>
                <w:bCs/>
                <w:color w:val="auto"/>
                <w:kern w:val="0"/>
                <w:sz w:val="24"/>
                <w:highlight w:val="none"/>
              </w:rPr>
            </w:pPr>
          </w:p>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全</w:t>
            </w:r>
          </w:p>
          <w:p>
            <w:pPr>
              <w:widowControl/>
              <w:jc w:val="center"/>
              <w:rPr>
                <w:rFonts w:hint="eastAsia" w:ascii="宋体" w:hAnsi="宋体" w:cs="Arial"/>
                <w:b/>
                <w:bCs/>
                <w:color w:val="auto"/>
                <w:kern w:val="0"/>
                <w:sz w:val="24"/>
                <w:highlight w:val="none"/>
              </w:rPr>
            </w:pPr>
          </w:p>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成</w:t>
            </w:r>
          </w:p>
          <w:p>
            <w:pPr>
              <w:widowControl/>
              <w:jc w:val="center"/>
              <w:rPr>
                <w:rFonts w:hint="eastAsia" w:ascii="宋体" w:hAnsi="宋体" w:cs="Arial"/>
                <w:b/>
                <w:bCs/>
                <w:color w:val="auto"/>
                <w:kern w:val="0"/>
                <w:sz w:val="24"/>
                <w:highlight w:val="none"/>
              </w:rPr>
            </w:pPr>
          </w:p>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本</w:t>
            </w:r>
          </w:p>
          <w:p>
            <w:pPr>
              <w:widowControl/>
              <w:jc w:val="center"/>
              <w:rPr>
                <w:rFonts w:hint="eastAsia" w:ascii="宋体" w:hAnsi="宋体" w:cs="Arial"/>
                <w:b/>
                <w:bCs/>
                <w:color w:val="auto"/>
                <w:kern w:val="0"/>
                <w:sz w:val="24"/>
                <w:highlight w:val="none"/>
              </w:rPr>
            </w:pPr>
          </w:p>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核</w:t>
            </w:r>
          </w:p>
          <w:p>
            <w:pPr>
              <w:widowControl/>
              <w:jc w:val="center"/>
              <w:rPr>
                <w:rFonts w:hint="eastAsia" w:ascii="宋体" w:hAnsi="宋体" w:cs="Arial"/>
                <w:b/>
                <w:bCs/>
                <w:color w:val="auto"/>
                <w:kern w:val="0"/>
                <w:sz w:val="24"/>
                <w:highlight w:val="none"/>
              </w:rPr>
            </w:pPr>
          </w:p>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算</w:t>
            </w:r>
          </w:p>
          <w:p>
            <w:pPr>
              <w:widowControl/>
              <w:jc w:val="center"/>
              <w:rPr>
                <w:rFonts w:hint="eastAsia" w:ascii="宋体" w:hAnsi="宋体" w:cs="Arial"/>
                <w:b/>
                <w:bCs/>
                <w:color w:val="auto"/>
                <w:kern w:val="0"/>
                <w:sz w:val="24"/>
                <w:highlight w:val="none"/>
              </w:rPr>
            </w:pPr>
          </w:p>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系</w:t>
            </w:r>
          </w:p>
          <w:p>
            <w:pPr>
              <w:widowControl/>
              <w:jc w:val="center"/>
              <w:rPr>
                <w:rFonts w:hint="eastAsia" w:ascii="宋体" w:hAnsi="宋体" w:cs="Arial"/>
                <w:b/>
                <w:bCs/>
                <w:color w:val="auto"/>
                <w:kern w:val="0"/>
                <w:sz w:val="24"/>
                <w:highlight w:val="none"/>
              </w:rPr>
            </w:pPr>
          </w:p>
          <w:p>
            <w:pPr>
              <w:widowControl/>
              <w:jc w:val="center"/>
              <w:rPr>
                <w:rFonts w:ascii="宋体" w:hAnsi="宋体" w:cs="Arial"/>
                <w:b/>
                <w:bCs/>
                <w:color w:val="auto"/>
                <w:kern w:val="0"/>
                <w:sz w:val="20"/>
                <w:szCs w:val="20"/>
                <w:highlight w:val="none"/>
              </w:rPr>
            </w:pPr>
            <w:r>
              <w:rPr>
                <w:rFonts w:hint="eastAsia" w:ascii="宋体" w:hAnsi="宋体" w:cs="Arial"/>
                <w:b/>
                <w:bCs/>
                <w:color w:val="auto"/>
                <w:kern w:val="0"/>
                <w:sz w:val="24"/>
                <w:highlight w:val="none"/>
              </w:rPr>
              <w:t>统</w:t>
            </w:r>
          </w:p>
        </w:tc>
        <w:tc>
          <w:tcPr>
            <w:tcW w:w="3402"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r>
              <w:rPr>
                <w:rFonts w:hint="eastAsia" w:ascii="宋体" w:hAnsi="宋体" w:cs="Arial"/>
                <w:b/>
                <w:bCs/>
                <w:color w:val="auto"/>
                <w:kern w:val="0"/>
                <w:szCs w:val="21"/>
                <w:highlight w:val="none"/>
              </w:rPr>
              <w:t>系统</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系统选项设置</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完成系统基本信息、公用系统参数、编码规则，以及成本核算参数等选项的设置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数据库连接参数</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定义并配置当前系统数据库连接设置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数据备份</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系统数据库备份</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操作员定义及授权</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操作员设置及权限管理，包含用户组及其权限的设置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修改口令</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当前登录用户口令修改</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更换操作员</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切换用户，重新登录</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系统日志</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系统日志管理，包含系统登陆、系统设置、基础设置、数据处理、数据备份、系统升级、程序错误等日志信息</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期末处理</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期末结帐</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完成成本核算系统的期末处理，对本期数据封存，将成本分摊方案和基础数据自动转移到下期，并切换到下一会计期间</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取消结帐</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对已结帐会计期间进行取消结帐处理，回到最近结帐会计期间，重新数据处理</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系统锁定</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锁定当前系统防止其他人员使用</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退出系统</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退出本系统</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r>
              <w:rPr>
                <w:rFonts w:hint="eastAsia" w:ascii="宋体" w:hAnsi="宋体" w:cs="Arial"/>
                <w:b/>
                <w:bCs/>
                <w:color w:val="auto"/>
                <w:kern w:val="0"/>
                <w:szCs w:val="21"/>
                <w:highlight w:val="none"/>
              </w:rPr>
              <w:t>基础设置</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成本核算选项</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完成成本分摊流程灵活设置，支持次序分摊、交互分摊、直接分摊等多种分摊方式</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成本核算科室(单元)</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成本核算科室基本信息维护，及核算科室相关的数据归集、成本分摊方案的设置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科室职工信息</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职工基本信息设置和人员分析，并根据职工设置自动生成分摊基准及职工数据导入所需的代码转换规则</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成本项目</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成本核算项目基本信息维护，及项目相关的归集、分析选项的设置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收入项目</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收入项目维护</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项目属性设置</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成本项目属性</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完成成本项目可控性、成本习性等分类设置，用于进行成本核算数据分析</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成本项目属性定义</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快速完成成本项目的各项分类对应设置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收入项目属性</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完成收入项目分类设置，用于进行成本核算数据分析</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收入项目属性定义</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快速完成收入项目的各项分类对应设置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核算科室属性</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完成核算科室分类设置，用于进行成本核算数据分析</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核算科室属性定义</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快速完成核算科室的各项分类对应设置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信息项目</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信息项目维护，作为成本核算分摊基准和数据分析项目使用，支持公式项目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内部服务/统计项目</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医院各科室内部服务项目的维护，及内部服务价格的设置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成本明细核算项目</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成本项目明细核算项目设置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r>
              <w:rPr>
                <w:rFonts w:hint="eastAsia" w:ascii="宋体" w:hAnsi="宋体" w:cs="Arial"/>
                <w:b/>
                <w:bCs/>
                <w:color w:val="auto"/>
                <w:kern w:val="0"/>
                <w:szCs w:val="21"/>
                <w:highlight w:val="none"/>
              </w:rPr>
              <w:t>成本核算</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全院归集费用分摊方案</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全院归集费用分摊中介</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起到帮助分摊的作用，通过设置一个虚拟的科室，使全院费用分摊更为合理</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全院归集费用分摊方案</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设置全院性费用对应的受益对象，分摊基准等分摊方案信息</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科室间接成本分摊方案</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科室间接成本分摊中介</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起到帮助分摊的作用，通过设置一个虚拟的科室，使科室间接成本分摊更为合理</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科室间接成本分摊方案</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设置后勤、管理、辅助科室对应的受益对象，分摊基准等分摊方案信息</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科室信息数据采集</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实现科室基本信息、工作量等相关信息的数据采集，支持EXCEL导入和从其他系统自动采集数据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分摊中介信息数据采集</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全院归集费用中介信息</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全院性费用分摊中介对应的分摊基准信息数据的采集</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科室成本分摊中介信息</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科室分摊中介对应的分摊基准信息数据的采集</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内部服务统计信息采集</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供应室、维修组等内部服务工作量数据的采集，可以通过EXCEL导入或从科室管理平台中</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分摊基准数据浏览</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全院费用分摊基准数据</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按分摊受益对象浏览和录入全院性成本分摊基准数据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科室成本分摊基准数据</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按分摊受益对象浏览和录入科室成本分摊基准数据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科室直接成本采集</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科室直接成本采集与浏览，支持直接录入、EXCEL导入，以及从其他系统自动采集数据等多种方式</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日常支出凭证处理</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通过凭证模式采集科室直接成本数据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日常支出凭证录入</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直接录入日常支出凭证数据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日常支出凭证浏览</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浏览和查看日常支出凭证单据信息</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凭证处理-出纳签字</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完成出纳签字处理</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凭证处理-凭证审核</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完成凭证审核处理</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凭证处理-红单冲销</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完成凭证冲红处理</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科室待摊费用采集</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完成科室待摊费用的录入和采集</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全院归集费用采集</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完成全院性费用的录入和采集</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职工直接成本采集</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职工直接成本采集</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采集职工相关的直接成本，如工资等</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职工每月考勤信息</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记录职工每月在各科室的考勤信息</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科室成本分摊与计算</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将成本系统的信息、成本数据等进行归集、计算与分摊</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科室成本分摊数据检查</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计算结果根据检查规则确定计算是否正确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数据采集与核算状态</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记录系统中数据的采集与计算状态</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科室直接成本组成明细表</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具体查询各科室在某一期间的直接成本组成明细情况</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科室全成本组成明细表</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查询利润中心在某一期间的全成本情况</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科室成本分摊明细表</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科室成本摊入明细表</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查询其他科室摊入具体科室的数据信息</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科室成本摊出明细表</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查询该科室摊给其他科室的费用情况</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r>
              <w:rPr>
                <w:rFonts w:hint="eastAsia" w:ascii="宋体" w:hAnsi="宋体" w:cs="Arial"/>
                <w:b/>
                <w:bCs/>
                <w:color w:val="auto"/>
                <w:kern w:val="0"/>
                <w:szCs w:val="21"/>
                <w:highlight w:val="none"/>
              </w:rPr>
              <w:t>接口管理</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接口代码及转换设置</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成本、绩效、奖金系统接口代码转换规则设置</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财务软件数据采集</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财务体统中相关数据的自动采集</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HIS系统数据采集</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HIS财务体统中相关数据的自动采集</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其他系统数据采集</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其他系统中相关数据的自动采集</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通用数据采集工具</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外部系统中数据自动采集</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EXCEL数据导入设置</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设置系统中相关数据的Excel导入接口</w:t>
            </w:r>
          </w:p>
        </w:tc>
      </w:tr>
      <w:tr>
        <w:tblPrEx>
          <w:tblLayout w:type="fixed"/>
          <w:tblCellMar>
            <w:top w:w="0" w:type="dxa"/>
            <w:left w:w="108" w:type="dxa"/>
            <w:bottom w:w="0" w:type="dxa"/>
            <w:right w:w="108" w:type="dxa"/>
          </w:tblCellMar>
        </w:tblPrEx>
        <w:trPr>
          <w:cantSplit/>
          <w:trHeight w:val="402" w:hRule="atLeast"/>
          <w:jc w:val="center"/>
        </w:trPr>
        <w:tc>
          <w:tcPr>
            <w:tcW w:w="138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02"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EXCEL数据导入工具</w:t>
            </w:r>
          </w:p>
        </w:tc>
        <w:tc>
          <w:tcPr>
            <w:tcW w:w="4551"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将系统中的数据通过Excel导入到系统中</w:t>
            </w:r>
          </w:p>
        </w:tc>
      </w:tr>
    </w:tbl>
    <w:p>
      <w:pPr>
        <w:pStyle w:val="3"/>
        <w:ind w:firstLine="221" w:firstLineChars="100"/>
        <w:rPr>
          <w:color w:val="auto"/>
          <w:sz w:val="22"/>
          <w:szCs w:val="22"/>
          <w:highlight w:val="none"/>
        </w:rPr>
      </w:pPr>
      <w:r>
        <w:rPr>
          <w:rFonts w:hint="eastAsia"/>
          <w:color w:val="auto"/>
          <w:sz w:val="22"/>
          <w:szCs w:val="22"/>
          <w:highlight w:val="none"/>
          <w:lang w:val="en-US" w:eastAsia="zh-CN"/>
        </w:rPr>
        <w:t>2、</w:t>
      </w:r>
      <w:r>
        <w:rPr>
          <w:rFonts w:hint="eastAsia"/>
          <w:color w:val="auto"/>
          <w:sz w:val="22"/>
          <w:szCs w:val="22"/>
          <w:highlight w:val="none"/>
        </w:rPr>
        <w:t>院科效益核算系统</w:t>
      </w:r>
    </w:p>
    <w:tbl>
      <w:tblPr>
        <w:tblStyle w:val="66"/>
        <w:tblW w:w="9217" w:type="dxa"/>
        <w:jc w:val="center"/>
        <w:tblInd w:w="0" w:type="dxa"/>
        <w:tblLayout w:type="fixed"/>
        <w:tblCellMar>
          <w:top w:w="0" w:type="dxa"/>
          <w:left w:w="108" w:type="dxa"/>
          <w:bottom w:w="0" w:type="dxa"/>
          <w:right w:w="108" w:type="dxa"/>
        </w:tblCellMar>
      </w:tblPr>
      <w:tblGrid>
        <w:gridCol w:w="126"/>
        <w:gridCol w:w="1221"/>
        <w:gridCol w:w="414"/>
        <w:gridCol w:w="3018"/>
        <w:gridCol w:w="4438"/>
      </w:tblGrid>
      <w:tr>
        <w:tblPrEx>
          <w:tblLayout w:type="fixed"/>
          <w:tblCellMar>
            <w:top w:w="0" w:type="dxa"/>
            <w:left w:w="108" w:type="dxa"/>
            <w:bottom w:w="0" w:type="dxa"/>
            <w:right w:w="108" w:type="dxa"/>
          </w:tblCellMar>
        </w:tblPrEx>
        <w:trPr>
          <w:trHeight w:val="570" w:hRule="atLeast"/>
          <w:jc w:val="center"/>
        </w:trPr>
        <w:tc>
          <w:tcPr>
            <w:tcW w:w="13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系统名称</w:t>
            </w:r>
          </w:p>
        </w:tc>
        <w:tc>
          <w:tcPr>
            <w:tcW w:w="343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功能模块名称</w:t>
            </w:r>
          </w:p>
        </w:tc>
        <w:tc>
          <w:tcPr>
            <w:tcW w:w="44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功能内容说明</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院</w:t>
            </w:r>
          </w:p>
          <w:p>
            <w:pPr>
              <w:widowControl/>
              <w:jc w:val="center"/>
              <w:rPr>
                <w:rFonts w:hint="eastAsia" w:ascii="宋体" w:hAnsi="宋体" w:cs="Arial"/>
                <w:b/>
                <w:bCs/>
                <w:color w:val="auto"/>
                <w:kern w:val="0"/>
                <w:sz w:val="24"/>
                <w:highlight w:val="none"/>
              </w:rPr>
            </w:pPr>
          </w:p>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科</w:t>
            </w:r>
          </w:p>
          <w:p>
            <w:pPr>
              <w:widowControl/>
              <w:jc w:val="center"/>
              <w:rPr>
                <w:rFonts w:hint="eastAsia" w:ascii="宋体" w:hAnsi="宋体" w:cs="Arial"/>
                <w:b/>
                <w:bCs/>
                <w:color w:val="auto"/>
                <w:kern w:val="0"/>
                <w:sz w:val="24"/>
                <w:highlight w:val="none"/>
              </w:rPr>
            </w:pPr>
          </w:p>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效</w:t>
            </w:r>
          </w:p>
          <w:p>
            <w:pPr>
              <w:widowControl/>
              <w:jc w:val="center"/>
              <w:rPr>
                <w:rFonts w:hint="eastAsia" w:ascii="宋体" w:hAnsi="宋体" w:cs="Arial"/>
                <w:b/>
                <w:bCs/>
                <w:color w:val="auto"/>
                <w:kern w:val="0"/>
                <w:sz w:val="24"/>
                <w:highlight w:val="none"/>
              </w:rPr>
            </w:pPr>
          </w:p>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益</w:t>
            </w:r>
          </w:p>
          <w:p>
            <w:pPr>
              <w:widowControl/>
              <w:jc w:val="center"/>
              <w:rPr>
                <w:rFonts w:hint="eastAsia" w:ascii="宋体" w:hAnsi="宋体" w:cs="Arial"/>
                <w:b/>
                <w:bCs/>
                <w:color w:val="auto"/>
                <w:kern w:val="0"/>
                <w:sz w:val="24"/>
                <w:highlight w:val="none"/>
              </w:rPr>
            </w:pPr>
          </w:p>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核</w:t>
            </w:r>
          </w:p>
          <w:p>
            <w:pPr>
              <w:widowControl/>
              <w:jc w:val="center"/>
              <w:rPr>
                <w:rFonts w:hint="eastAsia" w:ascii="宋体" w:hAnsi="宋体" w:cs="Arial"/>
                <w:b/>
                <w:bCs/>
                <w:color w:val="auto"/>
                <w:kern w:val="0"/>
                <w:sz w:val="24"/>
                <w:highlight w:val="none"/>
              </w:rPr>
            </w:pPr>
          </w:p>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算</w:t>
            </w:r>
          </w:p>
          <w:p>
            <w:pPr>
              <w:widowControl/>
              <w:jc w:val="center"/>
              <w:rPr>
                <w:rFonts w:hint="eastAsia" w:ascii="宋体" w:hAnsi="宋体" w:cs="Arial"/>
                <w:b/>
                <w:bCs/>
                <w:color w:val="auto"/>
                <w:kern w:val="0"/>
                <w:sz w:val="24"/>
                <w:highlight w:val="none"/>
              </w:rPr>
            </w:pPr>
          </w:p>
          <w:p>
            <w:pPr>
              <w:widowControl/>
              <w:jc w:val="center"/>
              <w:rPr>
                <w:rFonts w:hint="eastAsia" w:ascii="宋体" w:hAnsi="宋体" w:cs="Arial"/>
                <w:b/>
                <w:bCs/>
                <w:color w:val="auto"/>
                <w:kern w:val="0"/>
                <w:sz w:val="24"/>
                <w:highlight w:val="none"/>
              </w:rPr>
            </w:pPr>
            <w:r>
              <w:rPr>
                <w:rFonts w:hint="eastAsia" w:ascii="宋体" w:hAnsi="宋体" w:cs="Arial"/>
                <w:b/>
                <w:bCs/>
                <w:color w:val="auto"/>
                <w:kern w:val="0"/>
                <w:sz w:val="24"/>
                <w:highlight w:val="none"/>
              </w:rPr>
              <w:t>系</w:t>
            </w:r>
          </w:p>
          <w:p>
            <w:pPr>
              <w:widowControl/>
              <w:jc w:val="center"/>
              <w:rPr>
                <w:rFonts w:hint="eastAsia" w:ascii="宋体" w:hAnsi="宋体" w:cs="Arial"/>
                <w:b/>
                <w:bCs/>
                <w:color w:val="auto"/>
                <w:kern w:val="0"/>
                <w:sz w:val="24"/>
                <w:highlight w:val="none"/>
              </w:rPr>
            </w:pPr>
          </w:p>
          <w:p>
            <w:pPr>
              <w:widowControl/>
              <w:jc w:val="center"/>
              <w:rPr>
                <w:rFonts w:ascii="宋体" w:hAnsi="宋体" w:cs="Arial"/>
                <w:b/>
                <w:bCs/>
                <w:color w:val="auto"/>
                <w:kern w:val="0"/>
                <w:sz w:val="20"/>
                <w:szCs w:val="20"/>
                <w:highlight w:val="none"/>
              </w:rPr>
            </w:pPr>
            <w:r>
              <w:rPr>
                <w:rFonts w:hint="eastAsia" w:ascii="宋体" w:hAnsi="宋体" w:cs="Arial"/>
                <w:b/>
                <w:bCs/>
                <w:color w:val="auto"/>
                <w:kern w:val="0"/>
                <w:sz w:val="24"/>
                <w:highlight w:val="none"/>
              </w:rPr>
              <w:t>统</w:t>
            </w:r>
          </w:p>
        </w:tc>
        <w:tc>
          <w:tcPr>
            <w:tcW w:w="343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r>
              <w:rPr>
                <w:rFonts w:hint="eastAsia" w:ascii="宋体" w:hAnsi="宋体" w:cs="Arial"/>
                <w:b/>
                <w:bCs/>
                <w:color w:val="auto"/>
                <w:kern w:val="0"/>
                <w:szCs w:val="21"/>
                <w:highlight w:val="none"/>
              </w:rPr>
              <w:t>绩效核算</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业务科室收入核算设置</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设置具体收入项目的开单与执行科室的范围以及开单与执行的比例。</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业务科室成本转移设置</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设置相关科室的成本转移比例与剩余比例</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科室收入数据采集</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科室收入数据采集与浏览，可以根据收入项目自动更新执行科室，支持直接录入、EXCEL导入，以及从其他系统自动采集数据等多种方式</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科室开单收入数据采集</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开单科室的收入数据采集与浏览，支持支持直接录入、EXCEL导入，以及从其他系统自动采集数据等多种方式</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科室执行收入数据采集</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执行科室的收入数据采集与浏览，支持支持直接录入、EXCEL导入，以及从其他系统自动采集数据等多种方式</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科室收入及绩效计算</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科室原始收入数据的计算以及医技药品科室的转移成本的计算</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科室绩效收入提取明细表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查询科室的核算方法以及具体收入项目开单与执行提取金额</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科室绩效收入汇总表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查询各科室在具体某一阶段采用某种核算方式的收入汇总情况</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医院各科绩效损益汇总表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查询各科室在某一阶段采用某种核算方式的收支节余情况</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科室绩效损益明细表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查询具体科室在某一阶段收支节余情况</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成本与绩效数据处理</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将成本数据与绩效收入数据同时计算</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科室绩效核算数据检查</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计算结果根据检查规则确定计算是否正确</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数据采集与核算状态</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反映收入数据采集与核算状态</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成本绩效核算科室平台</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查看具体科室的成本与收入情况</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r>
              <w:rPr>
                <w:rFonts w:hint="eastAsia" w:ascii="宋体" w:hAnsi="宋体" w:cs="Arial"/>
                <w:b/>
                <w:bCs/>
                <w:color w:val="auto"/>
                <w:kern w:val="0"/>
                <w:szCs w:val="21"/>
                <w:highlight w:val="none"/>
              </w:rPr>
              <w:t>报表管理中心</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医院各科信息数据一览表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全面反映各个科室的基本情况</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医院各科内部服务汇总表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全面反映指定科室的基本情况、工作量统计、统计指标等信息</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医院各科直接成本汇总表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用于反映医院各科直接成本组成情况</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医院各科直接成本明细表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用于反映医院各科指定直接成本项目的明细组成及各个明细项目所占的比例情况</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科室直接成本组成分析表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反映指定科室在某一期间内的科室直接成本的组成情况</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医院各科全成本汇总表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反映经过间接费用分摊后医院业务科室的全成本汇总信息</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科室全成本组成明细表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反映经过后勤、辅助、管理间接费用分摊后，指定科室的全成本明细组成情况</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医院各科成本分摊汇总表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反映经过间接成本分摊后业务科室的成本，以及及每一分摊步骤的成本摊入情</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医院各科原始收入统计表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医院开单科室收入统计表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反映医院各个科室开单收入情况</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医院执行科室收入统计表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反映医院各个科室执行收入情况</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医院各科绩效收入汇总表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医院各科绩效收入汇总表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反映医院所有利润中心的收入</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临床科室绩效收入汇总表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反映临床科室的所有收入</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医技.药品科室绩效收入汇总表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反映医技、药品科室的所有收入</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医院各科绩效收入组成明细表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明细的统计某个科室的所有收入</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医院各科绩效成本汇总表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医院各科绩效成本汇总表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反映医院所有科室应承担的所有成本</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临床科室绩效成本汇总表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反映临床科室应承担的所有成本</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医技.药品科室绩效成本汇总表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反映医技、药品科室应承担的所有成本</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科室绩效成本组成明细表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明细的统计某个科室应承担的所有成本</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医院各科绩效损益汇总表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医院各科绩效损益汇总表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反映医院所有科室收支结余</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临床科室绩效损益汇总表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反映临床科室收支结余</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ascii="宋体" w:hAnsi="宋体" w:cs="Arial"/>
                <w:color w:val="auto"/>
                <w:kern w:val="0"/>
                <w:szCs w:val="21"/>
                <w:highlight w:val="none"/>
              </w:rPr>
            </w:pPr>
            <w:r>
              <w:rPr>
                <w:rFonts w:hint="eastAsia" w:ascii="宋体" w:hAnsi="宋体" w:cs="Arial"/>
                <w:color w:val="auto"/>
                <w:kern w:val="0"/>
                <w:szCs w:val="21"/>
                <w:highlight w:val="none"/>
              </w:rPr>
              <w:t>医技.药品科室绩效损益汇总表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反映医技、药品科室收支结余</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科室绩效损益组成明细表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明细的统计某个科室绩效损益的组成</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rPr>
                <w:rFonts w:hint="eastAsia" w:ascii="宋体" w:hAnsi="宋体" w:cs="Arial"/>
                <w:b/>
                <w:color w:val="auto"/>
                <w:kern w:val="0"/>
                <w:szCs w:val="21"/>
                <w:highlight w:val="none"/>
              </w:rPr>
            </w:pPr>
            <w:r>
              <w:rPr>
                <w:rFonts w:hint="eastAsia" w:ascii="宋体" w:hAnsi="宋体" w:cs="Arial"/>
                <w:b/>
                <w:color w:val="auto"/>
                <w:kern w:val="0"/>
                <w:szCs w:val="21"/>
                <w:highlight w:val="none"/>
              </w:rPr>
              <w:t>2012年：新财务制度成本报表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Arial"/>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医院各科室直接成本表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反映全院各科室直接成本按成本项目大类统计成本表</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医院临床服务类科室全成  本表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反映医院临床服务类科室按成本项目大类统计全成本表</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388" w:leftChars="185"/>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医院临床服务类科室全成   本构成分折表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反映医院临床服务类科室按成本项目大类、收入、结余及门诊均次成本及床日成本统计表</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rPr>
                <w:rFonts w:hint="eastAsia" w:ascii="宋体" w:hAnsi="宋体" w:cs="Arial"/>
                <w:b/>
                <w:color w:val="auto"/>
                <w:kern w:val="0"/>
                <w:szCs w:val="21"/>
                <w:highlight w:val="none"/>
              </w:rPr>
            </w:pPr>
            <w:r>
              <w:rPr>
                <w:rFonts w:hint="eastAsia" w:ascii="宋体" w:hAnsi="宋体" w:cs="Arial"/>
                <w:b/>
                <w:color w:val="auto"/>
                <w:kern w:val="0"/>
                <w:szCs w:val="21"/>
                <w:highlight w:val="none"/>
              </w:rPr>
              <w:t>2015年：县级医院科室成本核算报表体系</w:t>
            </w:r>
          </w:p>
        </w:tc>
        <w:tc>
          <w:tcPr>
            <w:tcW w:w="443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Arial"/>
                <w:color w:val="auto"/>
                <w:kern w:val="0"/>
                <w:szCs w:val="21"/>
                <w:highlight w:val="none"/>
              </w:rPr>
            </w:pP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rPr>
                <w:rFonts w:ascii="宋体" w:hAnsi="宋体" w:cs="Arial"/>
                <w:color w:val="auto"/>
                <w:kern w:val="0"/>
                <w:szCs w:val="21"/>
                <w:highlight w:val="none"/>
              </w:rPr>
            </w:pPr>
            <w:r>
              <w:rPr>
                <w:rFonts w:hint="eastAsia" w:ascii="宋体" w:hAnsi="宋体" w:cs="Arial"/>
                <w:color w:val="auto"/>
                <w:kern w:val="0"/>
                <w:szCs w:val="21"/>
                <w:highlight w:val="none"/>
              </w:rPr>
              <w:t>医院各科室直接成本表</w:t>
            </w:r>
            <w:r>
              <w:rPr>
                <w:rFonts w:ascii="宋体" w:hAnsi="宋体" w:cs="Arial"/>
                <w:color w:val="auto"/>
                <w:kern w:val="0"/>
                <w:szCs w:val="21"/>
                <w:highlight w:val="none"/>
              </w:rPr>
              <w:t xml:space="preserve"> </w:t>
            </w:r>
          </w:p>
          <w:p>
            <w:pPr>
              <w:widowControl/>
              <w:ind w:left="231" w:leftChars="110"/>
              <w:rPr>
                <w:color w:val="auto"/>
                <w:szCs w:val="21"/>
                <w:highlight w:val="none"/>
              </w:rPr>
            </w:pPr>
            <w:r>
              <w:rPr>
                <w:rFonts w:ascii="宋体" w:hAnsi="宋体" w:cs="Arial"/>
                <w:color w:val="auto"/>
                <w:kern w:val="0"/>
                <w:szCs w:val="21"/>
                <w:highlight w:val="none"/>
              </w:rPr>
              <w:t>(</w:t>
            </w:r>
            <w:r>
              <w:rPr>
                <w:rFonts w:hint="eastAsia" w:ascii="宋体" w:hAnsi="宋体" w:cs="Arial"/>
                <w:color w:val="auto"/>
                <w:kern w:val="0"/>
                <w:szCs w:val="21"/>
                <w:highlight w:val="none"/>
              </w:rPr>
              <w:t>医疗成本</w:t>
            </w:r>
            <w:r>
              <w:rPr>
                <w:rFonts w:ascii="宋体" w:hAnsi="宋体" w:cs="Arial"/>
                <w:color w:val="auto"/>
                <w:kern w:val="0"/>
                <w:szCs w:val="21"/>
                <w:highlight w:val="none"/>
              </w:rPr>
              <w:t xml:space="preserve">) </w:t>
            </w:r>
          </w:p>
        </w:tc>
        <w:tc>
          <w:tcPr>
            <w:tcW w:w="4438" w:type="dxa"/>
            <w:tcBorders>
              <w:top w:val="single" w:color="auto" w:sz="4" w:space="0"/>
              <w:left w:val="nil"/>
              <w:bottom w:val="single" w:color="auto" w:sz="4" w:space="0"/>
              <w:right w:val="single" w:color="auto" w:sz="4" w:space="0"/>
            </w:tcBorders>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分析医院临床服务类、医疗技术类、医疗辅助类和行政后勤类等四类中各科室的直接成本（医疗成本）状况</w:t>
            </w:r>
            <w:r>
              <w:rPr>
                <w:rFonts w:ascii="宋体" w:hAnsi="宋体" w:cs="Arial"/>
                <w:color w:val="auto"/>
                <w:kern w:val="0"/>
                <w:szCs w:val="21"/>
                <w:highlight w:val="none"/>
              </w:rPr>
              <w:t xml:space="preserve"> </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rPr>
                <w:rFonts w:ascii="宋体" w:hAnsi="宋体" w:cs="Arial"/>
                <w:color w:val="auto"/>
                <w:kern w:val="0"/>
                <w:szCs w:val="21"/>
                <w:highlight w:val="none"/>
              </w:rPr>
            </w:pPr>
            <w:r>
              <w:rPr>
                <w:rFonts w:hint="eastAsia" w:ascii="宋体" w:hAnsi="宋体" w:cs="Arial"/>
                <w:color w:val="auto"/>
                <w:kern w:val="0"/>
                <w:szCs w:val="21"/>
                <w:highlight w:val="none"/>
              </w:rPr>
              <w:t>医院各科室直接成本表</w:t>
            </w:r>
            <w:r>
              <w:rPr>
                <w:rFonts w:ascii="宋体" w:hAnsi="宋体" w:cs="Arial"/>
                <w:color w:val="auto"/>
                <w:kern w:val="0"/>
                <w:szCs w:val="21"/>
                <w:highlight w:val="none"/>
              </w:rPr>
              <w:t xml:space="preserve"> </w:t>
            </w:r>
          </w:p>
          <w:p>
            <w:pPr>
              <w:widowControl/>
              <w:ind w:left="231" w:leftChars="110"/>
              <w:rPr>
                <w:rFonts w:ascii="宋体" w:hAnsi="宋体" w:cs="Arial"/>
                <w:color w:val="auto"/>
                <w:kern w:val="0"/>
                <w:szCs w:val="21"/>
                <w:highlight w:val="none"/>
              </w:rPr>
            </w:pPr>
            <w:r>
              <w:rPr>
                <w:rFonts w:ascii="宋体" w:hAnsi="宋体" w:cs="Arial"/>
                <w:color w:val="auto"/>
                <w:kern w:val="0"/>
                <w:szCs w:val="21"/>
                <w:highlight w:val="none"/>
              </w:rPr>
              <w:t>(</w:t>
            </w:r>
            <w:r>
              <w:rPr>
                <w:rFonts w:hint="eastAsia" w:ascii="宋体" w:hAnsi="宋体" w:cs="Arial"/>
                <w:color w:val="auto"/>
                <w:kern w:val="0"/>
                <w:szCs w:val="21"/>
                <w:highlight w:val="none"/>
              </w:rPr>
              <w:t>医疗全成本和医院全成本</w:t>
            </w:r>
            <w:r>
              <w:rPr>
                <w:rFonts w:ascii="宋体" w:hAnsi="宋体" w:cs="Arial"/>
                <w:color w:val="auto"/>
                <w:kern w:val="0"/>
                <w:szCs w:val="21"/>
                <w:highlight w:val="none"/>
              </w:rPr>
              <w:t xml:space="preserve">) </w:t>
            </w:r>
          </w:p>
        </w:tc>
        <w:tc>
          <w:tcPr>
            <w:tcW w:w="4438" w:type="dxa"/>
            <w:tcBorders>
              <w:top w:val="single" w:color="auto" w:sz="4" w:space="0"/>
              <w:left w:val="nil"/>
              <w:bottom w:val="single" w:color="auto" w:sz="4" w:space="0"/>
              <w:right w:val="single" w:color="auto" w:sz="4" w:space="0"/>
            </w:tcBorders>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分析医院临床服务类、医疗技术类、医疗辅助类和行政后勤类等四类中各科室的直接成本（医疗全成本和医院全成本）状况</w:t>
            </w:r>
            <w:r>
              <w:rPr>
                <w:rFonts w:ascii="宋体" w:hAnsi="宋体" w:cs="Arial"/>
                <w:color w:val="auto"/>
                <w:kern w:val="0"/>
                <w:szCs w:val="21"/>
                <w:highlight w:val="none"/>
              </w:rPr>
              <w:t xml:space="preserve"> </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rPr>
                <w:rFonts w:ascii="宋体" w:hAnsi="宋体" w:cs="Arial"/>
                <w:color w:val="auto"/>
                <w:kern w:val="0"/>
                <w:szCs w:val="21"/>
                <w:highlight w:val="none"/>
              </w:rPr>
            </w:pPr>
            <w:r>
              <w:rPr>
                <w:rFonts w:hint="eastAsia" w:ascii="宋体" w:hAnsi="宋体" w:cs="Arial"/>
                <w:color w:val="auto"/>
                <w:kern w:val="0"/>
                <w:szCs w:val="21"/>
                <w:highlight w:val="none"/>
              </w:rPr>
              <w:t>医院临床服务类科室全成本表</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（医疗成本）</w:t>
            </w:r>
            <w:r>
              <w:rPr>
                <w:rFonts w:ascii="宋体" w:hAnsi="宋体" w:cs="Arial"/>
                <w:color w:val="auto"/>
                <w:kern w:val="0"/>
                <w:szCs w:val="21"/>
                <w:highlight w:val="none"/>
              </w:rPr>
              <w:t xml:space="preserve"> </w:t>
            </w:r>
          </w:p>
        </w:tc>
        <w:tc>
          <w:tcPr>
            <w:tcW w:w="4438" w:type="dxa"/>
            <w:tcBorders>
              <w:top w:val="single" w:color="auto" w:sz="4" w:space="0"/>
              <w:left w:val="nil"/>
              <w:bottom w:val="single" w:color="auto" w:sz="4" w:space="0"/>
              <w:right w:val="single" w:color="auto" w:sz="4" w:space="0"/>
            </w:tcBorders>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分析医院临床服务类各科室的全成本（医疗成本）状况</w:t>
            </w:r>
            <w:r>
              <w:rPr>
                <w:rFonts w:ascii="宋体" w:hAnsi="宋体" w:cs="Arial"/>
                <w:color w:val="auto"/>
                <w:kern w:val="0"/>
                <w:szCs w:val="21"/>
                <w:highlight w:val="none"/>
              </w:rPr>
              <w:t xml:space="preserve"> </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rPr>
                <w:rFonts w:ascii="宋体" w:hAnsi="宋体" w:cs="Arial"/>
                <w:color w:val="auto"/>
                <w:kern w:val="0"/>
                <w:szCs w:val="21"/>
                <w:highlight w:val="none"/>
              </w:rPr>
            </w:pPr>
            <w:r>
              <w:rPr>
                <w:rFonts w:hint="eastAsia" w:ascii="宋体" w:hAnsi="宋体" w:cs="Arial"/>
                <w:color w:val="auto"/>
                <w:kern w:val="0"/>
                <w:szCs w:val="21"/>
                <w:highlight w:val="none"/>
              </w:rPr>
              <w:t>医院临床服务类科室全成本表</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（医疗全成本和医院全成本）</w:t>
            </w:r>
            <w:r>
              <w:rPr>
                <w:rFonts w:ascii="宋体" w:hAnsi="宋体" w:cs="Arial"/>
                <w:color w:val="auto"/>
                <w:kern w:val="0"/>
                <w:szCs w:val="21"/>
                <w:highlight w:val="none"/>
              </w:rPr>
              <w:t xml:space="preserve"> </w:t>
            </w:r>
          </w:p>
        </w:tc>
        <w:tc>
          <w:tcPr>
            <w:tcW w:w="4438" w:type="dxa"/>
            <w:tcBorders>
              <w:top w:val="single" w:color="auto" w:sz="4" w:space="0"/>
              <w:left w:val="nil"/>
              <w:bottom w:val="single" w:color="auto" w:sz="4" w:space="0"/>
              <w:right w:val="single" w:color="auto" w:sz="4" w:space="0"/>
            </w:tcBorders>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分析医院临床服务类各科室的全成本（医疗全成本和医院全成本）状况</w:t>
            </w:r>
            <w:r>
              <w:rPr>
                <w:rFonts w:ascii="宋体" w:hAnsi="宋体" w:cs="Arial"/>
                <w:color w:val="auto"/>
                <w:kern w:val="0"/>
                <w:szCs w:val="21"/>
                <w:highlight w:val="none"/>
              </w:rPr>
              <w:t xml:space="preserve"> </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rPr>
                <w:rFonts w:ascii="宋体" w:hAnsi="宋体" w:cs="Arial"/>
                <w:color w:val="auto"/>
                <w:kern w:val="0"/>
                <w:szCs w:val="21"/>
                <w:highlight w:val="none"/>
              </w:rPr>
            </w:pPr>
            <w:r>
              <w:rPr>
                <w:rFonts w:hint="eastAsia" w:ascii="宋体" w:hAnsi="宋体" w:cs="Arial"/>
                <w:color w:val="auto"/>
                <w:kern w:val="0"/>
                <w:szCs w:val="21"/>
                <w:highlight w:val="none"/>
              </w:rPr>
              <w:t>医院临床服务类科室全成本构成分析表（医疗成本）</w:t>
            </w:r>
            <w:r>
              <w:rPr>
                <w:rFonts w:ascii="宋体" w:hAnsi="宋体" w:cs="Arial"/>
                <w:color w:val="auto"/>
                <w:kern w:val="0"/>
                <w:szCs w:val="21"/>
                <w:highlight w:val="none"/>
              </w:rPr>
              <w:t xml:space="preserve"> </w:t>
            </w:r>
          </w:p>
        </w:tc>
        <w:tc>
          <w:tcPr>
            <w:tcW w:w="4438" w:type="dxa"/>
            <w:tcBorders>
              <w:top w:val="single" w:color="auto" w:sz="4" w:space="0"/>
              <w:left w:val="nil"/>
              <w:bottom w:val="single" w:color="auto" w:sz="4" w:space="0"/>
              <w:right w:val="single" w:color="auto" w:sz="4" w:space="0"/>
            </w:tcBorders>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分析医院临床服务类各科室的全成本（医疗成本）构成、收支结余、门诊的诊次成本和病房的床日成本等状况</w:t>
            </w:r>
            <w:r>
              <w:rPr>
                <w:rFonts w:ascii="宋体" w:hAnsi="宋体" w:cs="Arial"/>
                <w:color w:val="auto"/>
                <w:kern w:val="0"/>
                <w:szCs w:val="21"/>
                <w:highlight w:val="none"/>
              </w:rPr>
              <w:t xml:space="preserve"> </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rPr>
                <w:rFonts w:ascii="宋体" w:hAnsi="宋体" w:cs="Arial"/>
                <w:color w:val="auto"/>
                <w:kern w:val="0"/>
                <w:szCs w:val="21"/>
                <w:highlight w:val="none"/>
              </w:rPr>
            </w:pPr>
            <w:r>
              <w:rPr>
                <w:rFonts w:hint="eastAsia" w:ascii="宋体" w:hAnsi="宋体" w:cs="Arial"/>
                <w:color w:val="auto"/>
                <w:kern w:val="0"/>
                <w:szCs w:val="21"/>
                <w:highlight w:val="none"/>
              </w:rPr>
              <w:t>医院临床服务类科室全成本构成分析表（医疗全成本和医院全成本）</w:t>
            </w:r>
            <w:r>
              <w:rPr>
                <w:rFonts w:ascii="宋体" w:hAnsi="宋体" w:cs="Arial"/>
                <w:color w:val="auto"/>
                <w:kern w:val="0"/>
                <w:szCs w:val="21"/>
                <w:highlight w:val="none"/>
              </w:rPr>
              <w:t xml:space="preserve"> </w:t>
            </w:r>
          </w:p>
        </w:tc>
        <w:tc>
          <w:tcPr>
            <w:tcW w:w="4438" w:type="dxa"/>
            <w:tcBorders>
              <w:top w:val="single" w:color="auto" w:sz="4" w:space="0"/>
              <w:left w:val="nil"/>
              <w:bottom w:val="single" w:color="auto" w:sz="4" w:space="0"/>
              <w:right w:val="single" w:color="auto" w:sz="4" w:space="0"/>
            </w:tcBorders>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分析医院临床服务类各科室的全成本（医疗全成本和医院全成本）构成、收支结余、门诊的诊次成本和病房的床日成本等状况</w:t>
            </w:r>
            <w:r>
              <w:rPr>
                <w:rFonts w:ascii="宋体" w:hAnsi="宋体" w:cs="Arial"/>
                <w:color w:val="auto"/>
                <w:kern w:val="0"/>
                <w:szCs w:val="21"/>
                <w:highlight w:val="none"/>
              </w:rPr>
              <w:t xml:space="preserve"> </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rPr>
                <w:rFonts w:ascii="宋体" w:hAnsi="宋体" w:cs="Arial"/>
                <w:color w:val="auto"/>
                <w:kern w:val="0"/>
                <w:szCs w:val="21"/>
                <w:highlight w:val="none"/>
              </w:rPr>
            </w:pPr>
            <w:r>
              <w:rPr>
                <w:rFonts w:hint="eastAsia" w:ascii="宋体" w:hAnsi="宋体" w:cs="Arial"/>
                <w:color w:val="auto"/>
                <w:kern w:val="0"/>
                <w:szCs w:val="21"/>
                <w:highlight w:val="none"/>
              </w:rPr>
              <w:t>医院各科室医疗成本三级分摊表</w:t>
            </w:r>
            <w:r>
              <w:rPr>
                <w:rFonts w:ascii="宋体" w:hAnsi="宋体" w:cs="Arial"/>
                <w:color w:val="auto"/>
                <w:kern w:val="0"/>
                <w:szCs w:val="21"/>
                <w:highlight w:val="none"/>
              </w:rPr>
              <w:t xml:space="preserve"> </w:t>
            </w:r>
          </w:p>
        </w:tc>
        <w:tc>
          <w:tcPr>
            <w:tcW w:w="4438" w:type="dxa"/>
            <w:tcBorders>
              <w:top w:val="single" w:color="auto" w:sz="4" w:space="0"/>
              <w:left w:val="nil"/>
              <w:bottom w:val="single" w:color="auto" w:sz="4" w:space="0"/>
              <w:right w:val="single" w:color="auto" w:sz="4" w:space="0"/>
            </w:tcBorders>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分析三级分摊过程中各科室所摊销的间接成本状况</w:t>
            </w:r>
            <w:r>
              <w:rPr>
                <w:rFonts w:ascii="宋体" w:hAnsi="宋体" w:cs="Arial"/>
                <w:color w:val="auto"/>
                <w:kern w:val="0"/>
                <w:szCs w:val="21"/>
                <w:highlight w:val="none"/>
              </w:rPr>
              <w:t xml:space="preserve"> </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rPr>
                <w:rFonts w:ascii="宋体" w:hAnsi="宋体" w:cs="Arial"/>
                <w:color w:val="auto"/>
                <w:kern w:val="0"/>
                <w:szCs w:val="21"/>
                <w:highlight w:val="none"/>
              </w:rPr>
            </w:pPr>
            <w:r>
              <w:rPr>
                <w:rFonts w:hint="eastAsia" w:ascii="宋体" w:hAnsi="宋体" w:cs="Arial"/>
                <w:color w:val="auto"/>
                <w:kern w:val="0"/>
                <w:szCs w:val="21"/>
                <w:highlight w:val="none"/>
              </w:rPr>
              <w:t>医院医技科室分摊行政后勤和医辅成本损益表</w:t>
            </w:r>
            <w:r>
              <w:rPr>
                <w:rFonts w:ascii="宋体" w:hAnsi="宋体" w:cs="Arial"/>
                <w:color w:val="auto"/>
                <w:kern w:val="0"/>
                <w:szCs w:val="21"/>
                <w:highlight w:val="none"/>
              </w:rPr>
              <w:t xml:space="preserve"> </w:t>
            </w:r>
          </w:p>
        </w:tc>
        <w:tc>
          <w:tcPr>
            <w:tcW w:w="4438" w:type="dxa"/>
            <w:tcBorders>
              <w:top w:val="single" w:color="auto" w:sz="4" w:space="0"/>
              <w:left w:val="nil"/>
              <w:bottom w:val="single" w:color="auto" w:sz="4" w:space="0"/>
              <w:right w:val="single" w:color="auto" w:sz="4" w:space="0"/>
            </w:tcBorders>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分析医疗技术类各科室在全成本下的收支结余状况</w:t>
            </w:r>
            <w:r>
              <w:rPr>
                <w:rFonts w:ascii="宋体" w:hAnsi="宋体" w:cs="Arial"/>
                <w:color w:val="auto"/>
                <w:kern w:val="0"/>
                <w:szCs w:val="21"/>
                <w:highlight w:val="none"/>
              </w:rPr>
              <w:t xml:space="preserve"> </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rPr>
                <w:rFonts w:ascii="宋体" w:hAnsi="宋体" w:cs="Arial"/>
                <w:color w:val="auto"/>
                <w:kern w:val="0"/>
                <w:szCs w:val="21"/>
                <w:highlight w:val="none"/>
              </w:rPr>
            </w:pPr>
            <w:r>
              <w:rPr>
                <w:rFonts w:hint="eastAsia" w:ascii="宋体" w:hAnsi="宋体" w:cs="Arial"/>
                <w:color w:val="auto"/>
                <w:kern w:val="0"/>
                <w:szCs w:val="21"/>
                <w:highlight w:val="none"/>
              </w:rPr>
              <w:t>医院临床科室分摊医技和医辅科室成本损益表</w:t>
            </w:r>
            <w:r>
              <w:rPr>
                <w:rFonts w:ascii="宋体" w:hAnsi="宋体" w:cs="Arial"/>
                <w:color w:val="auto"/>
                <w:kern w:val="0"/>
                <w:szCs w:val="21"/>
                <w:highlight w:val="none"/>
              </w:rPr>
              <w:t xml:space="preserve"> </w:t>
            </w:r>
          </w:p>
        </w:tc>
        <w:tc>
          <w:tcPr>
            <w:tcW w:w="4438" w:type="dxa"/>
            <w:tcBorders>
              <w:top w:val="single" w:color="auto" w:sz="4" w:space="0"/>
              <w:left w:val="nil"/>
              <w:bottom w:val="single" w:color="auto" w:sz="4" w:space="0"/>
              <w:right w:val="single" w:color="auto" w:sz="4" w:space="0"/>
            </w:tcBorders>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分析临床服务类各科室在仅分摊医疗技术类和医疗辅助类科室成本时的收支结余状况</w:t>
            </w:r>
            <w:r>
              <w:rPr>
                <w:rFonts w:ascii="宋体" w:hAnsi="宋体" w:cs="Arial"/>
                <w:color w:val="auto"/>
                <w:kern w:val="0"/>
                <w:szCs w:val="21"/>
                <w:highlight w:val="none"/>
              </w:rPr>
              <w:t xml:space="preserve"> </w:t>
            </w:r>
          </w:p>
        </w:tc>
      </w:tr>
      <w:tr>
        <w:tblPrEx>
          <w:tblLayout w:type="fixed"/>
          <w:tblCellMar>
            <w:top w:w="0" w:type="dxa"/>
            <w:left w:w="108" w:type="dxa"/>
            <w:bottom w:w="0" w:type="dxa"/>
            <w:right w:w="108" w:type="dxa"/>
          </w:tblCellMar>
        </w:tblPrEx>
        <w:trPr>
          <w:cantSplit/>
          <w:trHeight w:val="402" w:hRule="atLeast"/>
          <w:jc w:val="center"/>
        </w:trPr>
        <w:tc>
          <w:tcPr>
            <w:tcW w:w="13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rPr>
                <w:rFonts w:ascii="宋体" w:hAnsi="宋体" w:cs="Arial"/>
                <w:color w:val="auto"/>
                <w:kern w:val="0"/>
                <w:szCs w:val="21"/>
                <w:highlight w:val="none"/>
              </w:rPr>
            </w:pPr>
            <w:r>
              <w:rPr>
                <w:rFonts w:hint="eastAsia" w:ascii="宋体" w:hAnsi="宋体" w:cs="Arial"/>
                <w:color w:val="auto"/>
                <w:kern w:val="0"/>
                <w:szCs w:val="21"/>
                <w:highlight w:val="none"/>
              </w:rPr>
              <w:t>医院临床服务类科室业务收入明细及损益表</w:t>
            </w:r>
            <w:r>
              <w:rPr>
                <w:rFonts w:ascii="宋体" w:hAnsi="宋体" w:cs="Arial"/>
                <w:color w:val="auto"/>
                <w:kern w:val="0"/>
                <w:szCs w:val="21"/>
                <w:highlight w:val="none"/>
              </w:rPr>
              <w:t xml:space="preserve"> </w:t>
            </w:r>
          </w:p>
        </w:tc>
        <w:tc>
          <w:tcPr>
            <w:tcW w:w="4438" w:type="dxa"/>
            <w:tcBorders>
              <w:top w:val="single" w:color="auto" w:sz="4" w:space="0"/>
              <w:left w:val="nil"/>
              <w:bottom w:val="single" w:color="auto" w:sz="4" w:space="0"/>
              <w:right w:val="single" w:color="auto" w:sz="4" w:space="0"/>
            </w:tcBorders>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分析临床服务类各科室的门诊收入和住院收入结构、医疗收支结余状况</w:t>
            </w:r>
            <w:r>
              <w:rPr>
                <w:rFonts w:ascii="宋体" w:hAnsi="宋体" w:cs="Arial"/>
                <w:color w:val="auto"/>
                <w:kern w:val="0"/>
                <w:szCs w:val="21"/>
                <w:highlight w:val="none"/>
              </w:rPr>
              <w:t xml:space="preserve"> </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restart"/>
            <w:tcBorders>
              <w:top w:val="single" w:color="auto" w:sz="4" w:space="0"/>
              <w:left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rPr>
                <w:rFonts w:ascii="宋体" w:hAnsi="宋体" w:cs="Arial"/>
                <w:color w:val="auto"/>
                <w:kern w:val="0"/>
                <w:szCs w:val="21"/>
                <w:highlight w:val="none"/>
              </w:rPr>
            </w:pPr>
            <w:r>
              <w:rPr>
                <w:rFonts w:hint="eastAsia" w:ascii="宋体" w:hAnsi="宋体" w:cs="Arial"/>
                <w:color w:val="auto"/>
                <w:kern w:val="0"/>
                <w:szCs w:val="21"/>
                <w:highlight w:val="none"/>
              </w:rPr>
              <w:t>医院各科室各类人员经费明细表</w:t>
            </w:r>
            <w:r>
              <w:rPr>
                <w:rFonts w:ascii="宋体" w:hAnsi="宋体" w:cs="Arial"/>
                <w:color w:val="auto"/>
                <w:kern w:val="0"/>
                <w:szCs w:val="21"/>
                <w:highlight w:val="none"/>
              </w:rPr>
              <w:t xml:space="preserve"> </w:t>
            </w:r>
          </w:p>
        </w:tc>
        <w:tc>
          <w:tcPr>
            <w:tcW w:w="4438" w:type="dxa"/>
            <w:tcBorders>
              <w:top w:val="single" w:color="auto" w:sz="4" w:space="0"/>
              <w:left w:val="nil"/>
              <w:bottom w:val="single" w:color="auto" w:sz="4" w:space="0"/>
              <w:right w:val="single" w:color="auto" w:sz="4" w:space="0"/>
            </w:tcBorders>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分析医院临床服务类、医疗技术类、医疗辅助类和行政后勤类等四类中各科室的各类职工人员经费的构成状况</w:t>
            </w:r>
            <w:r>
              <w:rPr>
                <w:rFonts w:ascii="宋体" w:hAnsi="宋体" w:cs="Arial"/>
                <w:color w:val="auto"/>
                <w:kern w:val="0"/>
                <w:szCs w:val="21"/>
                <w:highlight w:val="none"/>
              </w:rPr>
              <w:t xml:space="preserve"> </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rPr>
                <w:rFonts w:ascii="宋体" w:hAnsi="宋体" w:cs="Arial"/>
                <w:color w:val="auto"/>
                <w:kern w:val="0"/>
                <w:szCs w:val="21"/>
                <w:highlight w:val="none"/>
              </w:rPr>
            </w:pPr>
            <w:r>
              <w:rPr>
                <w:rFonts w:hint="eastAsia" w:ascii="宋体" w:hAnsi="宋体" w:cs="Arial"/>
                <w:color w:val="auto"/>
                <w:kern w:val="0"/>
                <w:szCs w:val="21"/>
                <w:highlight w:val="none"/>
              </w:rPr>
              <w:t>医院各科室其他费用明细表</w:t>
            </w:r>
            <w:r>
              <w:rPr>
                <w:rFonts w:ascii="宋体" w:hAnsi="宋体" w:cs="Arial"/>
                <w:color w:val="auto"/>
                <w:kern w:val="0"/>
                <w:szCs w:val="21"/>
                <w:highlight w:val="none"/>
              </w:rPr>
              <w:t xml:space="preserve"> </w:t>
            </w:r>
          </w:p>
        </w:tc>
        <w:tc>
          <w:tcPr>
            <w:tcW w:w="4438" w:type="dxa"/>
            <w:tcBorders>
              <w:top w:val="single" w:color="auto" w:sz="4" w:space="0"/>
              <w:left w:val="nil"/>
              <w:bottom w:val="single" w:color="auto" w:sz="4" w:space="0"/>
              <w:right w:val="single" w:color="auto" w:sz="4" w:space="0"/>
            </w:tcBorders>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分析医院临床服务类、医疗技术类、医疗辅助类和行政后勤类等四类中各科室其他费用的构成状况</w:t>
            </w:r>
            <w:r>
              <w:rPr>
                <w:rFonts w:ascii="宋体" w:hAnsi="宋体" w:cs="Arial"/>
                <w:color w:val="auto"/>
                <w:kern w:val="0"/>
                <w:szCs w:val="21"/>
                <w:highlight w:val="none"/>
              </w:rPr>
              <w:t xml:space="preserve"> </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rPr>
                <w:rFonts w:ascii="宋体" w:hAnsi="宋体" w:cs="Arial"/>
                <w:color w:val="auto"/>
                <w:kern w:val="0"/>
                <w:szCs w:val="21"/>
                <w:highlight w:val="none"/>
              </w:rPr>
            </w:pPr>
            <w:r>
              <w:rPr>
                <w:rFonts w:hint="eastAsia" w:ascii="宋体" w:hAnsi="宋体" w:cs="Arial"/>
                <w:color w:val="auto"/>
                <w:kern w:val="0"/>
                <w:szCs w:val="21"/>
                <w:highlight w:val="none"/>
              </w:rPr>
              <w:t>医院工作量及次均费用表</w:t>
            </w:r>
            <w:r>
              <w:rPr>
                <w:rFonts w:ascii="宋体" w:hAnsi="宋体" w:cs="Arial"/>
                <w:color w:val="auto"/>
                <w:kern w:val="0"/>
                <w:szCs w:val="21"/>
                <w:highlight w:val="none"/>
              </w:rPr>
              <w:t xml:space="preserve"> </w:t>
            </w:r>
          </w:p>
        </w:tc>
        <w:tc>
          <w:tcPr>
            <w:tcW w:w="4438" w:type="dxa"/>
            <w:tcBorders>
              <w:top w:val="single" w:color="auto" w:sz="4" w:space="0"/>
              <w:left w:val="nil"/>
              <w:bottom w:val="single" w:color="auto" w:sz="4" w:space="0"/>
              <w:right w:val="single" w:color="auto" w:sz="4" w:space="0"/>
            </w:tcBorders>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分析医院临床服务类各科室工作量和均次费用状况</w:t>
            </w:r>
            <w:r>
              <w:rPr>
                <w:rFonts w:ascii="宋体" w:hAnsi="宋体" w:cs="Arial"/>
                <w:color w:val="auto"/>
                <w:kern w:val="0"/>
                <w:szCs w:val="21"/>
                <w:highlight w:val="none"/>
              </w:rPr>
              <w:t xml:space="preserve"> </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rPr>
                <w:rFonts w:ascii="宋体" w:hAnsi="宋体" w:cs="Arial"/>
                <w:color w:val="auto"/>
                <w:kern w:val="0"/>
                <w:szCs w:val="21"/>
                <w:highlight w:val="none"/>
              </w:rPr>
            </w:pPr>
            <w:r>
              <w:rPr>
                <w:rFonts w:hint="eastAsia" w:ascii="宋体" w:hAnsi="宋体" w:cs="Arial"/>
                <w:color w:val="auto"/>
                <w:kern w:val="0"/>
                <w:szCs w:val="21"/>
                <w:highlight w:val="none"/>
              </w:rPr>
              <w:t>医院基本情况分析表</w:t>
            </w:r>
            <w:r>
              <w:rPr>
                <w:rFonts w:ascii="宋体" w:hAnsi="宋体" w:cs="Arial"/>
                <w:color w:val="auto"/>
                <w:kern w:val="0"/>
                <w:szCs w:val="21"/>
                <w:highlight w:val="none"/>
              </w:rPr>
              <w:t xml:space="preserve"> </w:t>
            </w:r>
          </w:p>
        </w:tc>
        <w:tc>
          <w:tcPr>
            <w:tcW w:w="4438" w:type="dxa"/>
            <w:tcBorders>
              <w:top w:val="single" w:color="auto" w:sz="4" w:space="0"/>
              <w:left w:val="nil"/>
              <w:bottom w:val="single" w:color="auto" w:sz="4" w:space="0"/>
              <w:right w:val="single" w:color="auto" w:sz="4" w:space="0"/>
            </w:tcBorders>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从总体上分析全院各类成本和收入构成等状况</w:t>
            </w:r>
            <w:r>
              <w:rPr>
                <w:rFonts w:ascii="宋体" w:hAnsi="宋体" w:cs="Arial"/>
                <w:color w:val="auto"/>
                <w:kern w:val="0"/>
                <w:szCs w:val="21"/>
                <w:highlight w:val="none"/>
              </w:rPr>
              <w:t xml:space="preserve"> </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r>
              <w:rPr>
                <w:rFonts w:hint="eastAsia" w:ascii="宋体" w:hAnsi="宋体" w:cs="Arial"/>
                <w:b/>
                <w:bCs/>
                <w:color w:val="auto"/>
                <w:kern w:val="0"/>
                <w:szCs w:val="21"/>
                <w:highlight w:val="none"/>
              </w:rPr>
              <w:t>辅助</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打印机设置</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系统设置</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显示风格设置</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系统显示方案设置</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切换会计期间</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更换奖金系统中会计期间</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拼音码</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输入码切换</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五笔码</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输入码切换</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系统编码</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输入码切换</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计算器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打开计算器</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记事本</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打开记事本</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数据检查</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根据检查规则设置，进行系统数据合法性检查</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系统初始化</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根据选择，清除系统中的业务数据</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窗口</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水平排列</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设置排列格式</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垂直排列</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设置排列格式</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窗口平铺</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窗口显示格式</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窗口层叠</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窗口显示格式</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开启业务导航</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将系统中的功能全部列出，方便用户操作</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r>
              <w:rPr>
                <w:rFonts w:hint="eastAsia" w:ascii="宋体" w:hAnsi="宋体" w:cs="Arial"/>
                <w:b/>
                <w:bCs/>
                <w:color w:val="auto"/>
                <w:kern w:val="0"/>
                <w:szCs w:val="21"/>
                <w:highlight w:val="none"/>
              </w:rPr>
              <w:t>帮助</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b/>
                <w:bCs/>
                <w:color w:val="auto"/>
                <w:kern w:val="0"/>
                <w:szCs w:val="21"/>
                <w:highlight w:val="none"/>
              </w:rPr>
            </w:pP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快速入门</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查看系统初级入门基本帮助提示</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帮助索引</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查看此系统的相关帮助信息</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使用技巧</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系统使用中的技巧</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在线升级</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连接到INTERNET，自动完成系统升级</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E_MAIL</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发送需求或反馈意见到成本核算需求E-MAIL信箱</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公司主页</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打开公司主页</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432" w:type="dxa"/>
            <w:gridSpan w:val="2"/>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软件注册</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根据用户信息，完成当前系统注册</w:t>
            </w:r>
          </w:p>
        </w:tc>
      </w:tr>
      <w:tr>
        <w:tblPrEx>
          <w:tblLayout w:type="fixed"/>
          <w:tblCellMar>
            <w:top w:w="0" w:type="dxa"/>
            <w:left w:w="108" w:type="dxa"/>
            <w:bottom w:w="0" w:type="dxa"/>
            <w:right w:w="108" w:type="dxa"/>
          </w:tblCellMar>
        </w:tblPrEx>
        <w:trPr>
          <w:gridBefore w:val="1"/>
          <w:wBefore w:w="126" w:type="dxa"/>
          <w:cantSplit/>
          <w:trHeight w:val="402" w:hRule="atLeast"/>
          <w:jc w:val="center"/>
        </w:trPr>
        <w:tc>
          <w:tcPr>
            <w:tcW w:w="16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color w:val="auto"/>
                <w:kern w:val="0"/>
                <w:sz w:val="20"/>
                <w:szCs w:val="20"/>
                <w:highlight w:val="none"/>
              </w:rPr>
            </w:pPr>
          </w:p>
        </w:tc>
        <w:tc>
          <w:tcPr>
            <w:tcW w:w="3018" w:type="dxa"/>
            <w:tcBorders>
              <w:top w:val="single" w:color="auto" w:sz="4" w:space="0"/>
              <w:left w:val="nil"/>
              <w:bottom w:val="single" w:color="auto" w:sz="4" w:space="0"/>
              <w:right w:val="single" w:color="auto" w:sz="4" w:space="0"/>
            </w:tcBorders>
            <w:vAlign w:val="center"/>
          </w:tcPr>
          <w:p>
            <w:pPr>
              <w:widowControl/>
              <w:ind w:left="231" w:leftChars="110"/>
              <w:jc w:val="left"/>
              <w:rPr>
                <w:rFonts w:ascii="宋体" w:hAnsi="宋体" w:cs="Arial"/>
                <w:color w:val="auto"/>
                <w:kern w:val="0"/>
                <w:szCs w:val="21"/>
                <w:highlight w:val="none"/>
              </w:rPr>
            </w:pPr>
            <w:r>
              <w:rPr>
                <w:rFonts w:hint="eastAsia" w:ascii="宋体" w:hAnsi="宋体" w:cs="Arial"/>
                <w:color w:val="auto"/>
                <w:kern w:val="0"/>
                <w:szCs w:val="21"/>
                <w:highlight w:val="none"/>
              </w:rPr>
              <w:t>关于本系统</w:t>
            </w:r>
          </w:p>
        </w:tc>
        <w:tc>
          <w:tcPr>
            <w:tcW w:w="443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查看系统名称、当前版本号等信息</w:t>
            </w:r>
          </w:p>
        </w:tc>
      </w:tr>
    </w:tbl>
    <w:p>
      <w:pPr>
        <w:pStyle w:val="3"/>
        <w:spacing w:line="360" w:lineRule="auto"/>
        <w:rPr>
          <w:rFonts w:hint="eastAsia" w:ascii="新宋体" w:hAnsi="新宋体" w:eastAsia="新宋体" w:cs="新宋体"/>
          <w:b w:val="0"/>
          <w:color w:val="auto"/>
          <w:sz w:val="22"/>
          <w:szCs w:val="22"/>
          <w:highlight w:val="none"/>
        </w:rPr>
      </w:pPr>
      <w:r>
        <w:rPr>
          <w:rFonts w:hint="eastAsia" w:ascii="新宋体" w:hAnsi="新宋体" w:eastAsia="新宋体" w:cs="新宋体"/>
          <w:color w:val="auto"/>
          <w:sz w:val="22"/>
          <w:szCs w:val="22"/>
          <w:highlight w:val="none"/>
          <w:lang w:eastAsia="zh-CN"/>
        </w:rPr>
        <w:t>三、</w:t>
      </w:r>
      <w:r>
        <w:rPr>
          <w:rFonts w:hint="eastAsia" w:ascii="新宋体" w:hAnsi="新宋体" w:eastAsia="新宋体" w:cs="新宋体"/>
          <w:color w:val="auto"/>
          <w:sz w:val="22"/>
          <w:szCs w:val="22"/>
          <w:highlight w:val="none"/>
        </w:rPr>
        <w:t>实施及服务</w:t>
      </w:r>
    </w:p>
    <w:p>
      <w:pPr>
        <w:pStyle w:val="373"/>
        <w:tabs>
          <w:tab w:val="clear" w:pos="420"/>
        </w:tabs>
        <w:rPr>
          <w:rFonts w:hint="eastAsia" w:ascii="新宋体" w:hAnsi="新宋体" w:eastAsia="新宋体" w:cs="新宋体"/>
          <w:b w:val="0"/>
          <w:bCs w:val="0"/>
          <w:color w:val="auto"/>
          <w:sz w:val="22"/>
          <w:szCs w:val="22"/>
          <w:highlight w:val="none"/>
        </w:rPr>
      </w:pPr>
      <w:bookmarkStart w:id="9" w:name="_Toc323201209"/>
      <w:bookmarkStart w:id="10" w:name="_Toc227122394"/>
      <w:r>
        <w:rPr>
          <w:rFonts w:hint="eastAsia" w:ascii="新宋体" w:hAnsi="新宋体" w:eastAsia="新宋体" w:cs="新宋体"/>
          <w:color w:val="auto"/>
          <w:sz w:val="22"/>
          <w:szCs w:val="22"/>
          <w:highlight w:val="none"/>
          <w:lang w:eastAsia="zh-CN"/>
        </w:rPr>
        <w:t xml:space="preserve"> </w:t>
      </w:r>
      <w:r>
        <w:rPr>
          <w:rFonts w:hint="eastAsia" w:ascii="新宋体" w:hAnsi="新宋体" w:eastAsia="新宋体" w:cs="新宋体"/>
          <w:color w:val="auto"/>
          <w:sz w:val="22"/>
          <w:szCs w:val="22"/>
          <w:highlight w:val="none"/>
        </w:rPr>
        <w:t>1、系统验收和交付</w:t>
      </w:r>
      <w:bookmarkEnd w:id="9"/>
      <w:bookmarkEnd w:id="10"/>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(1)投标供应商需要根据项目建设内容和进度需要，派驻项目小组对本项目进行实施及服务。期间可能由于用户的需要及政策的变化而对系统进行相应的客户化修改，投标供应商必须无条件满足。</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(2)交付时间：合同签订后三个月内完成系统安装、调试及上线试运行工作。</w:t>
      </w:r>
    </w:p>
    <w:p>
      <w:pPr>
        <w:pStyle w:val="373"/>
        <w:tabs>
          <w:tab w:val="clear" w:pos="420"/>
        </w:tabs>
        <w:rPr>
          <w:rFonts w:hint="eastAsia" w:ascii="新宋体" w:hAnsi="新宋体" w:eastAsia="新宋体" w:cs="新宋体"/>
          <w:color w:val="auto"/>
          <w:sz w:val="22"/>
          <w:szCs w:val="22"/>
          <w:highlight w:val="none"/>
        </w:rPr>
      </w:pPr>
      <w:bookmarkStart w:id="11" w:name="_Toc323201210"/>
      <w:bookmarkStart w:id="12" w:name="_Toc227122395"/>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培训要求</w:t>
      </w:r>
      <w:bookmarkEnd w:id="11"/>
      <w:bookmarkEnd w:id="12"/>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供应商必须向业主方提供免费培训，培训方式应包括理论培训和现场培训。供应商须针对不同的培训对象，在投标文件中提出全面、详细的培训计划，包括但不限于培训内容、培训时间、地点、授课老师等。</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(2)投标供应商派出的培训教员应具备丰富的相同课程教学经验，所有的培训教员必须中文授课， 投标供应商必须为所有被培训人员提供培训用文字资料和讲义等相关用品。</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(3)投标供应商应按业主方约定合理地安排培训时间。</w:t>
      </w:r>
    </w:p>
    <w:p>
      <w:pPr>
        <w:pStyle w:val="373"/>
        <w:tabs>
          <w:tab w:val="clear" w:pos="420"/>
        </w:tabs>
        <w:rPr>
          <w:rFonts w:hint="eastAsia" w:ascii="新宋体" w:hAnsi="新宋体" w:eastAsia="新宋体" w:cs="新宋体"/>
          <w:b w:val="0"/>
          <w:bCs w:val="0"/>
          <w:color w:val="auto"/>
          <w:sz w:val="22"/>
          <w:szCs w:val="22"/>
          <w:highlight w:val="none"/>
        </w:rPr>
      </w:pPr>
      <w:bookmarkStart w:id="13" w:name="_Toc227122396"/>
      <w:bookmarkStart w:id="14" w:name="_Toc323201211"/>
      <w:r>
        <w:rPr>
          <w:rFonts w:hint="eastAsia" w:ascii="新宋体" w:hAnsi="新宋体" w:eastAsia="新宋体" w:cs="新宋体"/>
          <w:color w:val="auto"/>
          <w:sz w:val="22"/>
          <w:szCs w:val="22"/>
          <w:highlight w:val="none"/>
        </w:rPr>
        <w:t>3售后服务要求</w:t>
      </w:r>
      <w:bookmarkEnd w:id="13"/>
      <w:bookmarkEnd w:id="14"/>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(1)所有软件产品的质保期自本项目终验合格书签订之日起开始计算。对于应用系统开发，投标供应商应提供二年（24个月）的软件售后免费升级维护期，7×24小时软件工程师现场维护。</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(2)工程建设期间及质保期均属于免费服务期，该期限内的所有售后服务，包括软件维护、软件升级等所产生的费用均由中标人承担。</w:t>
      </w:r>
    </w:p>
    <w:p>
      <w:pPr>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响应时间：投标供应商在投标书中必须明确承诺售后服务响应时间，并不得低于以下标准：提供7×24电话服务，30分钟内响应，有8小时以内解决问题的能力。如需现场服务的，具有解决故障能力的工程师应在2小时内到达现场。</w:t>
      </w:r>
    </w:p>
    <w:p>
      <w:pPr>
        <w:pStyle w:val="373"/>
        <w:tabs>
          <w:tab w:val="clear" w:pos="420"/>
        </w:tabs>
        <w:rPr>
          <w:rFonts w:hint="eastAsia" w:ascii="新宋体" w:hAnsi="新宋体" w:eastAsia="新宋体" w:cs="新宋体"/>
          <w:b w:val="0"/>
          <w:bCs w:val="0"/>
          <w:color w:val="auto"/>
          <w:sz w:val="22"/>
          <w:szCs w:val="22"/>
          <w:highlight w:val="none"/>
        </w:rPr>
      </w:pPr>
      <w:bookmarkStart w:id="15" w:name="_Toc227122399"/>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文档要求</w:t>
      </w:r>
      <w:bookmarkEnd w:id="15"/>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中标人必须提供完整的软件安装、操作、使用、测试、控制和维护手册，以及应用软件的所有源代码。</w:t>
      </w:r>
    </w:p>
    <w:p>
      <w:pPr>
        <w:pStyle w:val="2"/>
        <w:tabs>
          <w:tab w:val="left" w:pos="330"/>
        </w:tabs>
        <w:rPr>
          <w:rFonts w:hint="eastAsia" w:ascii="新宋体" w:hAnsi="新宋体" w:eastAsia="新宋体" w:cs="新宋体"/>
          <w:color w:val="auto"/>
          <w:sz w:val="36"/>
          <w:szCs w:val="36"/>
          <w:highlight w:val="none"/>
        </w:rPr>
      </w:pPr>
    </w:p>
    <w:bookmarkEnd w:id="8"/>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rPr>
          <w:rFonts w:hint="eastAsia" w:ascii="新宋体" w:hAnsi="新宋体" w:eastAsia="新宋体" w:cs="新宋体"/>
          <w:color w:val="auto"/>
          <w:highlight w:val="none"/>
        </w:rPr>
      </w:pPr>
    </w:p>
    <w:p>
      <w:pPr>
        <w:pStyle w:val="2"/>
        <w:tabs>
          <w:tab w:val="left" w:pos="330"/>
        </w:tabs>
        <w:rPr>
          <w:rFonts w:hint="eastAsia" w:ascii="新宋体" w:hAnsi="新宋体" w:eastAsia="新宋体" w:cs="新宋体"/>
          <w:b w:val="0"/>
          <w:color w:val="auto"/>
          <w:sz w:val="36"/>
          <w:szCs w:val="36"/>
          <w:highlight w:val="none"/>
        </w:rPr>
      </w:pPr>
      <w:r>
        <w:rPr>
          <w:rFonts w:hint="eastAsia" w:ascii="新宋体" w:hAnsi="新宋体" w:eastAsia="新宋体" w:cs="新宋体"/>
          <w:color w:val="auto"/>
          <w:sz w:val="36"/>
          <w:szCs w:val="36"/>
          <w:highlight w:val="none"/>
        </w:rPr>
        <w:t>第二部分    供应商须知</w:t>
      </w:r>
    </w:p>
    <w:p>
      <w:pPr>
        <w:pStyle w:val="2"/>
        <w:rPr>
          <w:rFonts w:hint="eastAsia" w:ascii="新宋体" w:hAnsi="新宋体" w:eastAsia="新宋体" w:cs="新宋体"/>
          <w:color w:val="auto"/>
          <w:sz w:val="22"/>
          <w:szCs w:val="22"/>
          <w:highlight w:val="none"/>
        </w:rPr>
      </w:pPr>
      <w:bookmarkStart w:id="16" w:name="_Toc508785481"/>
    </w:p>
    <w:p>
      <w:pPr>
        <w:pStyle w:val="2"/>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供应商须知前附表</w:t>
      </w:r>
      <w:bookmarkEnd w:id="16"/>
    </w:p>
    <w:p>
      <w:pPr>
        <w:rPr>
          <w:rFonts w:hint="eastAsia" w:ascii="新宋体" w:hAnsi="新宋体" w:eastAsia="新宋体" w:cs="新宋体"/>
          <w:color w:val="auto"/>
          <w:highlight w:val="none"/>
        </w:rPr>
      </w:pPr>
    </w:p>
    <w:tbl>
      <w:tblPr>
        <w:tblStyle w:val="66"/>
        <w:tblW w:w="10123" w:type="dxa"/>
        <w:tblInd w:w="0" w:type="dxa"/>
        <w:tblLayout w:type="fixed"/>
        <w:tblCellMar>
          <w:top w:w="0" w:type="dxa"/>
          <w:left w:w="108" w:type="dxa"/>
          <w:bottom w:w="0" w:type="dxa"/>
          <w:right w:w="108" w:type="dxa"/>
        </w:tblCellMar>
      </w:tblPr>
      <w:tblGrid>
        <w:gridCol w:w="667"/>
        <w:gridCol w:w="2037"/>
        <w:gridCol w:w="7419"/>
      </w:tblGrid>
      <w:tr>
        <w:tblPrEx>
          <w:tblLayout w:type="fixed"/>
          <w:tblCellMar>
            <w:top w:w="0" w:type="dxa"/>
            <w:left w:w="108" w:type="dxa"/>
            <w:bottom w:w="0" w:type="dxa"/>
            <w:right w:w="108" w:type="dxa"/>
          </w:tblCellMar>
        </w:tblPrEx>
        <w:trPr>
          <w:trHeight w:val="421" w:hRule="exac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编列内容</w:t>
            </w:r>
          </w:p>
        </w:tc>
      </w:tr>
      <w:tr>
        <w:tblPrEx>
          <w:tblLayout w:type="fixed"/>
          <w:tblCellMar>
            <w:top w:w="0" w:type="dxa"/>
            <w:left w:w="108" w:type="dxa"/>
            <w:bottom w:w="0" w:type="dxa"/>
            <w:right w:w="108" w:type="dxa"/>
          </w:tblCellMar>
        </w:tblPrEx>
        <w:trPr>
          <w:trHeight w:val="1226"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采购人名称：温州医科大学附属口腔医院</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地址：温州市鹿城区学院西路373号 </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联系人：包老师               </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联系地址：0577-88063061</w:t>
            </w:r>
          </w:p>
        </w:tc>
      </w:tr>
      <w:tr>
        <w:tblPrEx>
          <w:tblLayout w:type="fixed"/>
          <w:tblCellMar>
            <w:top w:w="0" w:type="dxa"/>
            <w:left w:w="108" w:type="dxa"/>
            <w:bottom w:w="0" w:type="dxa"/>
            <w:right w:w="108" w:type="dxa"/>
          </w:tblCellMar>
        </w:tblPrEx>
        <w:trPr>
          <w:trHeight w:val="95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采购代理机构名称：浙江省成套招标代理有限公司</w:t>
            </w:r>
          </w:p>
          <w:p>
            <w:pPr>
              <w:spacing w:line="3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地 址：温州市温州大道展宏大厦B幢702室。</w:t>
            </w:r>
          </w:p>
          <w:p>
            <w:pPr>
              <w:spacing w:line="3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联系人：邵先生 电话：18967751006</w:t>
            </w:r>
          </w:p>
        </w:tc>
      </w:tr>
      <w:tr>
        <w:tblPrEx>
          <w:tblLayout w:type="fixed"/>
          <w:tblCellMar>
            <w:top w:w="0" w:type="dxa"/>
            <w:left w:w="108" w:type="dxa"/>
            <w:bottom w:w="0" w:type="dxa"/>
            <w:right w:w="108" w:type="dxa"/>
          </w:tblCellMar>
        </w:tblPrEx>
        <w:trPr>
          <w:trHeight w:val="623"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成本软件 </w:t>
            </w:r>
          </w:p>
          <w:p>
            <w:pPr>
              <w:spacing w:line="3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pacing w:val="40"/>
                <w:sz w:val="22"/>
                <w:szCs w:val="22"/>
                <w:highlight w:val="none"/>
              </w:rPr>
              <w:t>项目编号</w:t>
            </w:r>
            <w:r>
              <w:rPr>
                <w:rFonts w:hint="eastAsia" w:ascii="新宋体" w:hAnsi="新宋体" w:eastAsia="新宋体" w:cs="新宋体"/>
                <w:color w:val="auto"/>
                <w:kern w:val="0"/>
                <w:sz w:val="22"/>
                <w:szCs w:val="22"/>
                <w:highlight w:val="none"/>
              </w:rPr>
              <w:t xml:space="preserve">：CTZB-F180928CWB-1 </w:t>
            </w:r>
          </w:p>
        </w:tc>
      </w:tr>
      <w:tr>
        <w:tblPrEx>
          <w:tblLayout w:type="fixed"/>
          <w:tblCellMar>
            <w:top w:w="0" w:type="dxa"/>
            <w:left w:w="108" w:type="dxa"/>
            <w:bottom w:w="0" w:type="dxa"/>
            <w:right w:w="108" w:type="dxa"/>
          </w:tblCellMar>
        </w:tblPrEx>
        <w:trPr>
          <w:trHeight w:val="675"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招标内容</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rPr>
              <w:t>温州医科大学附属口腔医院成本软件的设计、开发、安装调试、售后服务等工作,详见采购文件第一部分。</w:t>
            </w:r>
          </w:p>
        </w:tc>
      </w:tr>
      <w:tr>
        <w:tblPrEx>
          <w:tblLayout w:type="fixed"/>
          <w:tblCellMar>
            <w:top w:w="0" w:type="dxa"/>
            <w:left w:w="108" w:type="dxa"/>
            <w:bottom w:w="0" w:type="dxa"/>
            <w:right w:w="108" w:type="dxa"/>
          </w:tblCellMar>
        </w:tblPrEx>
        <w:trPr>
          <w:trHeight w:val="49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交付时间</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新宋体" w:hAnsi="新宋体" w:eastAsia="新宋体" w:cs="新宋体"/>
                <w:b/>
                <w:color w:val="auto"/>
                <w:kern w:val="0"/>
                <w:sz w:val="22"/>
                <w:szCs w:val="22"/>
                <w:highlight w:val="none"/>
                <w:u w:val="single"/>
              </w:rPr>
            </w:pPr>
            <w:r>
              <w:rPr>
                <w:rFonts w:hint="eastAsia" w:ascii="新宋体" w:hAnsi="新宋体" w:eastAsia="新宋体" w:cs="新宋体"/>
                <w:b/>
                <w:color w:val="auto"/>
                <w:kern w:val="0"/>
                <w:sz w:val="22"/>
                <w:szCs w:val="22"/>
                <w:highlight w:val="none"/>
              </w:rPr>
              <w:t>合同签订后三个月内完成系统安装、调试及上线试运行工作。</w:t>
            </w:r>
          </w:p>
        </w:tc>
      </w:tr>
      <w:tr>
        <w:tblPrEx>
          <w:tblLayout w:type="fixed"/>
          <w:tblCellMar>
            <w:top w:w="0" w:type="dxa"/>
            <w:left w:w="108" w:type="dxa"/>
            <w:bottom w:w="0" w:type="dxa"/>
            <w:right w:w="108" w:type="dxa"/>
          </w:tblCellMar>
        </w:tblPrEx>
        <w:trPr>
          <w:trHeight w:val="43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供应商资质格要求</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spacing w:before="60" w:after="60" w:line="400" w:lineRule="exact"/>
              <w:ind w:left="60" w:right="60" w:firstLine="220" w:firstLineChars="1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基本条件：符合《中华人民共和国政府采购法》第二十二条的规定：</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1）具有独立承担民事责任的能力；</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2）具有良好的商业信誉和健全的财务会计制度；</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3）具有履行合同所必需的设备和专业技术能力；</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4）有依法缴纳税收和社会保障资金的良好记录；</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5）参加政府采购活动前三年内，在经营活动中没有重大违法记录；</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6）供应商未被列入失信被执行人名单、重大税收违法案件当事人名单、政府采购严重违法失信行为记录名单，信用信息以信用中国网站（www.creditchina.gov.cn）、中国政府采购网（www.ccgp.gov.cn）公布为准；</w:t>
            </w:r>
          </w:p>
          <w:p>
            <w:pPr>
              <w:widowControl/>
              <w:spacing w:before="60" w:after="60" w:line="400" w:lineRule="exact"/>
              <w:ind w:left="60" w:right="6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7）单位负责人为同一人或者存在直接控股、管理关系的不同供应商，不得参加同一合同项下的政府采购活动；</w:t>
            </w:r>
          </w:p>
          <w:p>
            <w:pPr>
              <w:widowControl/>
              <w:spacing w:before="60" w:after="60" w:line="400" w:lineRule="exact"/>
              <w:ind w:left="60" w:right="60" w:firstLine="220" w:firstLineChars="1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8）为项目提供整体设计、规范编制或者项目管理、监理、检测等服务的供应商，不得参加该项目的投标。</w:t>
            </w:r>
          </w:p>
          <w:p>
            <w:pPr>
              <w:widowControl/>
              <w:spacing w:before="60" w:after="60" w:line="400" w:lineRule="exact"/>
              <w:ind w:left="60" w:right="60"/>
              <w:jc w:val="left"/>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 xml:space="preserve">  9）本项目不接受联合体；</w:t>
            </w:r>
          </w:p>
        </w:tc>
      </w:tr>
      <w:tr>
        <w:tblPrEx>
          <w:tblLayout w:type="fixed"/>
          <w:tblCellMar>
            <w:top w:w="0" w:type="dxa"/>
            <w:left w:w="108" w:type="dxa"/>
            <w:bottom w:w="0" w:type="dxa"/>
            <w:right w:w="108" w:type="dxa"/>
          </w:tblCellMar>
        </w:tblPrEx>
        <w:trPr>
          <w:trHeight w:val="661"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不接受</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□接受，应满足下列要求：</w:t>
            </w:r>
          </w:p>
        </w:tc>
      </w:tr>
      <w:tr>
        <w:tblPrEx>
          <w:tblLayout w:type="fixed"/>
          <w:tblCellMar>
            <w:top w:w="0" w:type="dxa"/>
            <w:left w:w="108" w:type="dxa"/>
            <w:bottom w:w="0" w:type="dxa"/>
            <w:right w:w="108" w:type="dxa"/>
          </w:tblCellMar>
        </w:tblPrEx>
        <w:trPr>
          <w:trHeight w:val="661"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不组织，供应商自行前往项目现场进行踏勘。</w:t>
            </w:r>
          </w:p>
        </w:tc>
      </w:tr>
      <w:tr>
        <w:tblPrEx>
          <w:tblLayout w:type="fixed"/>
          <w:tblCellMar>
            <w:top w:w="0" w:type="dxa"/>
            <w:left w:w="108" w:type="dxa"/>
            <w:bottom w:w="0" w:type="dxa"/>
            <w:right w:w="108" w:type="dxa"/>
          </w:tblCellMar>
        </w:tblPrEx>
        <w:trPr>
          <w:trHeight w:val="661"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tblPrEx>
          <w:tblLayout w:type="fixed"/>
          <w:tblCellMar>
            <w:top w:w="0" w:type="dxa"/>
            <w:left w:w="108" w:type="dxa"/>
            <w:bottom w:w="0" w:type="dxa"/>
            <w:right w:w="108" w:type="dxa"/>
          </w:tblCellMar>
        </w:tblPrEx>
        <w:trPr>
          <w:trHeight w:val="661"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投标截止时间</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2018年10月24日14时00分（北京时间）。</w:t>
            </w:r>
          </w:p>
        </w:tc>
      </w:tr>
      <w:tr>
        <w:tblPrEx>
          <w:tblLayout w:type="fixed"/>
          <w:tblCellMar>
            <w:top w:w="0" w:type="dxa"/>
            <w:left w:w="108" w:type="dxa"/>
            <w:bottom w:w="0" w:type="dxa"/>
            <w:right w:w="108" w:type="dxa"/>
          </w:tblCellMar>
        </w:tblPrEx>
        <w:trPr>
          <w:trHeight w:val="661"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□允许</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不允许</w:t>
            </w:r>
          </w:p>
        </w:tc>
      </w:tr>
      <w:tr>
        <w:tblPrEx>
          <w:tblLayout w:type="fixed"/>
          <w:tblCellMar>
            <w:top w:w="0" w:type="dxa"/>
            <w:left w:w="108" w:type="dxa"/>
            <w:bottom w:w="0" w:type="dxa"/>
            <w:right w:w="108" w:type="dxa"/>
          </w:tblCellMar>
        </w:tblPrEx>
        <w:trPr>
          <w:trHeight w:val="972"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磋商小组判断，细微偏差要求供应商在评审结束前予以澄清、说明或补正，不接受要求进行的，磋商小组有权做无效标处理，详见评审及磋商办法。</w:t>
            </w:r>
          </w:p>
        </w:tc>
      </w:tr>
      <w:tr>
        <w:tblPrEx>
          <w:tblLayout w:type="fixed"/>
          <w:tblCellMar>
            <w:top w:w="0" w:type="dxa"/>
            <w:left w:w="108" w:type="dxa"/>
            <w:bottom w:w="0" w:type="dxa"/>
            <w:right w:w="108" w:type="dxa"/>
          </w:tblCellMar>
        </w:tblPrEx>
        <w:trPr>
          <w:trHeight w:val="616" w:hRule="exac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磋商响应文件有效期</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磋商响应文件自投标截止时间起生效，有效期</w:t>
            </w:r>
            <w:r>
              <w:rPr>
                <w:rFonts w:hint="eastAsia" w:ascii="新宋体" w:hAnsi="新宋体" w:eastAsia="新宋体" w:cs="新宋体"/>
                <w:color w:val="auto"/>
                <w:kern w:val="0"/>
                <w:sz w:val="22"/>
                <w:szCs w:val="22"/>
                <w:highlight w:val="none"/>
                <w:u w:val="single"/>
              </w:rPr>
              <w:t>90</w:t>
            </w:r>
            <w:r>
              <w:rPr>
                <w:rFonts w:hint="eastAsia" w:ascii="新宋体" w:hAnsi="新宋体" w:eastAsia="新宋体" w:cs="新宋体"/>
                <w:color w:val="auto"/>
                <w:kern w:val="0"/>
                <w:sz w:val="22"/>
                <w:szCs w:val="22"/>
                <w:highlight w:val="none"/>
              </w:rPr>
              <w:t>天。</w:t>
            </w:r>
          </w:p>
        </w:tc>
      </w:tr>
      <w:tr>
        <w:tblPrEx>
          <w:tblLayout w:type="fixed"/>
          <w:tblCellMar>
            <w:top w:w="0" w:type="dxa"/>
            <w:left w:w="108" w:type="dxa"/>
            <w:bottom w:w="0" w:type="dxa"/>
            <w:right w:w="108" w:type="dxa"/>
          </w:tblCellMar>
        </w:tblPrEx>
        <w:trPr>
          <w:trHeight w:val="2222"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60"/>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金额：人民币肆仟元整，投标供应商须在投标截止时间前以银行转帐形式缴纳至指定账号,汇款凭证随同磋商响应文件一并提交给采购代理机构。</w:t>
            </w:r>
          </w:p>
          <w:p>
            <w:pPr>
              <w:widowControl/>
              <w:spacing w:line="360" w:lineRule="auto"/>
              <w:ind w:right="60"/>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帐户名称：浙江省成套招标代理有限公司</w:t>
            </w:r>
          </w:p>
          <w:p>
            <w:pPr>
              <w:widowControl/>
              <w:spacing w:line="360" w:lineRule="auto"/>
              <w:ind w:right="60"/>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开户银行：中信银行杭州西湖支行</w:t>
            </w:r>
          </w:p>
          <w:p>
            <w:pPr>
              <w:widowControl/>
              <w:spacing w:line="360" w:lineRule="auto"/>
              <w:ind w:right="60"/>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帐    号：7331610182600126385</w:t>
            </w:r>
          </w:p>
        </w:tc>
      </w:tr>
      <w:tr>
        <w:tblPrEx>
          <w:tblLayout w:type="fixed"/>
          <w:tblCellMar>
            <w:top w:w="0" w:type="dxa"/>
            <w:left w:w="108" w:type="dxa"/>
            <w:bottom w:w="0" w:type="dxa"/>
            <w:right w:w="108" w:type="dxa"/>
          </w:tblCellMar>
        </w:tblPrEx>
        <w:trPr>
          <w:trHeight w:val="411"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磋商响应文件份数</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磋商响应文件一式4份，其中正本1份，副本3份</w:t>
            </w:r>
          </w:p>
        </w:tc>
      </w:tr>
      <w:tr>
        <w:tblPrEx>
          <w:tblLayout w:type="fixed"/>
          <w:tblCellMar>
            <w:top w:w="0" w:type="dxa"/>
            <w:left w:w="108" w:type="dxa"/>
            <w:bottom w:w="0" w:type="dxa"/>
            <w:right w:w="108" w:type="dxa"/>
          </w:tblCellMar>
        </w:tblPrEx>
        <w:trPr>
          <w:trHeight w:val="715"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包装要求</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磋商响应文件的正本和副本密封于包封袋中，并加盖密封印章，并在封套的封口处加盖供应商单位章，并由法定代表人或其授权代表签字。</w:t>
            </w:r>
          </w:p>
        </w:tc>
      </w:tr>
      <w:tr>
        <w:tblPrEx>
          <w:tblLayout w:type="fixed"/>
          <w:tblCellMar>
            <w:top w:w="0" w:type="dxa"/>
            <w:left w:w="108" w:type="dxa"/>
            <w:bottom w:w="0" w:type="dxa"/>
            <w:right w:w="108" w:type="dxa"/>
          </w:tblCellMar>
        </w:tblPrEx>
        <w:trPr>
          <w:trHeight w:val="715"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17</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递交投标</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文件地点</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rPr>
              <w:t>温州市鹿城区学院西路373号(温州医科大学附属口腔医院三楼会议室)</w:t>
            </w:r>
          </w:p>
        </w:tc>
      </w:tr>
      <w:tr>
        <w:tblPrEx>
          <w:tblLayout w:type="fixed"/>
          <w:tblCellMar>
            <w:top w:w="0" w:type="dxa"/>
            <w:left w:w="108" w:type="dxa"/>
            <w:bottom w:w="0" w:type="dxa"/>
            <w:right w:w="108" w:type="dxa"/>
          </w:tblCellMar>
        </w:tblPrEx>
        <w:trPr>
          <w:trHeight w:val="715"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开标时间</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和地点</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开标时间：同磋商响应文件递交截止时间</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开标地点：</w:t>
            </w:r>
            <w:r>
              <w:rPr>
                <w:rFonts w:hint="eastAsia" w:ascii="新宋体" w:hAnsi="新宋体" w:eastAsia="新宋体" w:cs="新宋体"/>
                <w:bCs/>
                <w:color w:val="auto"/>
                <w:kern w:val="0"/>
                <w:sz w:val="22"/>
                <w:szCs w:val="22"/>
                <w:highlight w:val="none"/>
              </w:rPr>
              <w:t>温州市鹿城区学院西路373号(温州医科大学附属口腔医院三楼会议室)</w:t>
            </w:r>
          </w:p>
        </w:tc>
      </w:tr>
      <w:tr>
        <w:tblPrEx>
          <w:tblLayout w:type="fixed"/>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磋商评审程序</w:t>
            </w:r>
          </w:p>
        </w:tc>
        <w:tc>
          <w:tcPr>
            <w:tcW w:w="7419" w:type="dxa"/>
            <w:tcBorders>
              <w:top w:val="single" w:color="auto" w:sz="4" w:space="0"/>
              <w:left w:val="single" w:color="auto" w:sz="4" w:space="0"/>
              <w:bottom w:val="single" w:color="auto" w:sz="4" w:space="0"/>
              <w:right w:val="single" w:color="auto" w:sz="4" w:space="0"/>
            </w:tcBorders>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1）递交磋商响应文件后，各供应商在指定开标室里集中；</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2）公布在投标截止时间前递交磋商响应文件的供应商名称，并点名确认供应商是否委派代表人到场；</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3）密封情况检查：由监督人员或供应商推选的代表检查磋商响应文件密封情况；</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4）开标顺序：供应商送达磋商响应文件的先后顺序；在开标室里先开启磋商响应文件，再送达评审室评审。</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5）确认开标结果：供应商代表对开标记录进行当场校核及勘误，并签字确认；并同时由记录人、监督人当场签字确认。供应商代表未到场签字确认的，不影响开评审过程及结果；</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6）技术资信标评审；</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7）磋商并进行二次（最终）报价；</w:t>
            </w:r>
          </w:p>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8）编写评审报告；</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9）宣布开标结束。</w:t>
            </w:r>
          </w:p>
        </w:tc>
      </w:tr>
      <w:tr>
        <w:tblPrEx>
          <w:tblLayout w:type="fixed"/>
          <w:tblCellMar>
            <w:top w:w="0" w:type="dxa"/>
            <w:left w:w="108" w:type="dxa"/>
            <w:bottom w:w="0" w:type="dxa"/>
            <w:right w:w="108" w:type="dxa"/>
          </w:tblCellMar>
        </w:tblPrEx>
        <w:trPr>
          <w:trHeight w:val="1060" w:hRule="exac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磋商小组</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的组建</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磋商小组成员由采购人依法组建,专家成员人数为3人及以上单数，由采购人依法组建。</w:t>
            </w:r>
          </w:p>
        </w:tc>
      </w:tr>
      <w:tr>
        <w:tblPrEx>
          <w:tblLayout w:type="fixed"/>
          <w:tblCellMar>
            <w:top w:w="0" w:type="dxa"/>
            <w:left w:w="108" w:type="dxa"/>
            <w:bottom w:w="0" w:type="dxa"/>
            <w:right w:w="108" w:type="dxa"/>
          </w:tblCellMar>
        </w:tblPrEx>
        <w:trPr>
          <w:trHeight w:val="594"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原 件</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□提交，具体要求见供应商须知</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不提交</w:t>
            </w:r>
          </w:p>
        </w:tc>
      </w:tr>
      <w:tr>
        <w:tblPrEx>
          <w:tblLayout w:type="fixed"/>
          <w:tblCellMar>
            <w:top w:w="0" w:type="dxa"/>
            <w:left w:w="108" w:type="dxa"/>
            <w:bottom w:w="0" w:type="dxa"/>
            <w:right w:w="108" w:type="dxa"/>
          </w:tblCellMar>
        </w:tblPrEx>
        <w:trPr>
          <w:trHeight w:val="594" w:hRule="atLeast"/>
        </w:trPr>
        <w:tc>
          <w:tcPr>
            <w:tcW w:w="6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22</w:t>
            </w:r>
          </w:p>
        </w:tc>
        <w:tc>
          <w:tcPr>
            <w:tcW w:w="203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履约保证金</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□提交</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不提交</w:t>
            </w:r>
          </w:p>
        </w:tc>
      </w:tr>
      <w:tr>
        <w:tblPrEx>
          <w:tblLayout w:type="fixed"/>
          <w:tblCellMar>
            <w:top w:w="0" w:type="dxa"/>
            <w:left w:w="108" w:type="dxa"/>
            <w:bottom w:w="0" w:type="dxa"/>
            <w:right w:w="108" w:type="dxa"/>
          </w:tblCellMar>
        </w:tblPrEx>
        <w:trPr>
          <w:trHeight w:val="525"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Cs w:val="21"/>
                <w:highlight w:val="none"/>
              </w:rPr>
              <w:t>23</w:t>
            </w:r>
          </w:p>
        </w:tc>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政府采购</w:t>
            </w:r>
          </w:p>
          <w:p>
            <w:pPr>
              <w:adjustRightInd w:val="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Cs w:val="21"/>
                <w:highlight w:val="none"/>
              </w:rPr>
              <w:t>扶持政策</w:t>
            </w:r>
          </w:p>
        </w:tc>
        <w:tc>
          <w:tcPr>
            <w:tcW w:w="7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1）对符合财政扶持政策的小微企业给予评标价格优惠,具体规定见“第五部分评标原则及方法”。</w:t>
            </w:r>
          </w:p>
          <w:p>
            <w:pP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 中小企业（含中型、小型、微型）指符合中小企业划分标准（工信部联企业[2011]300号），在本项目政府采购活动中提供本企业制造的货物，或者提供其他中小企业制造的货物的企业。本项所称货物不包括使用大型企业注册商标的货物及进口货物。小型、微型企业提供中型企业制造的货物的，视同为中型企业。</w:t>
            </w:r>
          </w:p>
          <w:p>
            <w:pP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3)监狱企业、残疾人福利性单位视同小微企业，参加本项目投标的，享受小微企业同等的价格扣除。</w:t>
            </w:r>
          </w:p>
          <w:p>
            <w:pP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4)对节能、环保产品优先采购。</w:t>
            </w:r>
          </w:p>
        </w:tc>
      </w:tr>
      <w:tr>
        <w:tblPrEx>
          <w:tblLayout w:type="fixed"/>
          <w:tblCellMar>
            <w:top w:w="0" w:type="dxa"/>
            <w:left w:w="108" w:type="dxa"/>
            <w:bottom w:w="0" w:type="dxa"/>
            <w:right w:w="108" w:type="dxa"/>
          </w:tblCellMar>
        </w:tblPrEx>
        <w:trPr>
          <w:trHeight w:val="525"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Cs w:val="21"/>
                <w:highlight w:val="none"/>
              </w:rPr>
              <w:t>24</w:t>
            </w:r>
          </w:p>
        </w:tc>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投标供应商信用</w:t>
            </w:r>
          </w:p>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Cs w:val="21"/>
                <w:highlight w:val="none"/>
              </w:rPr>
              <w:t>查询</w:t>
            </w:r>
          </w:p>
        </w:tc>
        <w:tc>
          <w:tcPr>
            <w:tcW w:w="741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2）查询渠道为信用中国网站（www.creditchina.gov.cn）、中国政府采购网（www.ccgp.gov.cn）。</w:t>
            </w:r>
          </w:p>
          <w:p>
            <w:pPr>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3)供应商须在磋商函中自行承诺。</w:t>
            </w:r>
          </w:p>
        </w:tc>
      </w:tr>
      <w:tr>
        <w:tblPrEx>
          <w:tblLayout w:type="fixed"/>
          <w:tblCellMar>
            <w:top w:w="0" w:type="dxa"/>
            <w:left w:w="108" w:type="dxa"/>
            <w:bottom w:w="0" w:type="dxa"/>
            <w:right w:w="108" w:type="dxa"/>
          </w:tblCellMar>
        </w:tblPrEx>
        <w:trPr>
          <w:trHeight w:val="525"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Cs w:val="21"/>
                <w:highlight w:val="none"/>
              </w:rPr>
              <w:t>25</w:t>
            </w:r>
          </w:p>
        </w:tc>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Cs w:val="21"/>
                <w:highlight w:val="none"/>
              </w:rPr>
              <w:t>合同备案</w:t>
            </w:r>
          </w:p>
        </w:tc>
        <w:tc>
          <w:tcPr>
            <w:tcW w:w="74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（1）中标投标人须在中标通知书发出之日起30日历天内与采购人签订合同。</w:t>
            </w:r>
          </w:p>
          <w:p>
            <w:pPr>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Cs w:val="21"/>
                <w:highlight w:val="none"/>
              </w:rPr>
              <w:t>（2）中标投标人与采购人签订合同后，2日历天内将合同扫描件电子版发给招标代理机构：邮箱：</w:t>
            </w:r>
            <w:r>
              <w:rPr>
                <w:rFonts w:hint="eastAsia" w:ascii="新宋体" w:hAnsi="新宋体" w:eastAsia="新宋体" w:cs="新宋体"/>
                <w:b/>
                <w:color w:val="auto"/>
                <w:szCs w:val="21"/>
                <w:highlight w:val="none"/>
                <w:u w:val="single"/>
              </w:rPr>
              <w:t>53514766@qq.com</w:t>
            </w:r>
            <w:r>
              <w:rPr>
                <w:rFonts w:hint="eastAsia" w:ascii="新宋体" w:hAnsi="新宋体" w:eastAsia="新宋体" w:cs="新宋体"/>
                <w:color w:val="auto"/>
                <w:szCs w:val="21"/>
                <w:highlight w:val="none"/>
              </w:rPr>
              <w:t>。</w:t>
            </w:r>
          </w:p>
        </w:tc>
      </w:tr>
      <w:tr>
        <w:tblPrEx>
          <w:tblLayout w:type="fixed"/>
          <w:tblCellMar>
            <w:top w:w="0" w:type="dxa"/>
            <w:left w:w="108" w:type="dxa"/>
            <w:bottom w:w="0" w:type="dxa"/>
            <w:right w:w="108" w:type="dxa"/>
          </w:tblCellMar>
        </w:tblPrEx>
        <w:trPr>
          <w:trHeight w:val="525"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Cs w:val="21"/>
                <w:highlight w:val="none"/>
              </w:rPr>
              <w:t>26</w:t>
            </w:r>
          </w:p>
        </w:tc>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Cs w:val="21"/>
                <w:highlight w:val="none"/>
              </w:rPr>
              <w:t>合同履约管理</w:t>
            </w:r>
          </w:p>
        </w:tc>
        <w:tc>
          <w:tcPr>
            <w:tcW w:w="74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Cs w:val="21"/>
                <w:highlight w:val="none"/>
              </w:rPr>
              <w:t>合同签订后，采购人依法加强对合同履约进行管理，并在中标单位服务、项目验收等重要关节，如实填写《合同验收报告》（或考核资料），并及时向同级采购监管部门报告验收过程中遇到的问题。</w:t>
            </w:r>
          </w:p>
        </w:tc>
      </w:tr>
      <w:tr>
        <w:tblPrEx>
          <w:tblLayout w:type="fixed"/>
          <w:tblCellMar>
            <w:top w:w="0" w:type="dxa"/>
            <w:left w:w="108" w:type="dxa"/>
            <w:bottom w:w="0" w:type="dxa"/>
            <w:right w:w="108" w:type="dxa"/>
          </w:tblCellMar>
        </w:tblPrEx>
        <w:trPr>
          <w:trHeight w:val="525" w:hRule="atLeast"/>
        </w:trPr>
        <w:tc>
          <w:tcPr>
            <w:tcW w:w="66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Cs w:val="21"/>
                <w:highlight w:val="none"/>
              </w:rPr>
              <w:t>27</w:t>
            </w:r>
          </w:p>
        </w:tc>
        <w:tc>
          <w:tcPr>
            <w:tcW w:w="203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Cs w:val="21"/>
                <w:highlight w:val="none"/>
              </w:rPr>
              <w:t>解释权</w:t>
            </w:r>
          </w:p>
        </w:tc>
        <w:tc>
          <w:tcPr>
            <w:tcW w:w="74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Cs w:val="21"/>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供应商须知、评标办法、磋商响应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spacing w:line="500" w:lineRule="exact"/>
        <w:jc w:val="center"/>
        <w:rPr>
          <w:rFonts w:hint="eastAsia" w:ascii="新宋体" w:hAnsi="新宋体" w:eastAsia="新宋体" w:cs="新宋体"/>
          <w:b/>
          <w:bCs/>
          <w:color w:val="auto"/>
          <w:sz w:val="36"/>
          <w:szCs w:val="36"/>
          <w:highlight w:val="none"/>
        </w:rPr>
      </w:pPr>
    </w:p>
    <w:p>
      <w:pPr>
        <w:pStyle w:val="3"/>
        <w:jc w:val="center"/>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36"/>
          <w:szCs w:val="36"/>
          <w:highlight w:val="none"/>
        </w:rPr>
        <w:br w:type="page"/>
      </w:r>
      <w:bookmarkStart w:id="17" w:name="_Toc508785482"/>
      <w:r>
        <w:rPr>
          <w:rFonts w:hint="eastAsia" w:ascii="新宋体" w:hAnsi="新宋体" w:eastAsia="新宋体" w:cs="新宋体"/>
          <w:color w:val="auto"/>
          <w:sz w:val="24"/>
          <w:szCs w:val="24"/>
          <w:highlight w:val="none"/>
        </w:rPr>
        <w:t>一   说 明</w:t>
      </w:r>
      <w:bookmarkEnd w:id="17"/>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采购是参考《政府采购竞争性磋商采购方式管理暂行办法》、《财政部关于政府采购竞争性磋商采购方式管理暂行办法有关问题的补充通知》等法律及有关法规组织和实施的。欢迎国内合格的供应商前来磋商，现将有关事项公告如下：</w:t>
      </w:r>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2、合格供应商要求以本项目公告表述为准。</w:t>
      </w:r>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3、供应商代表</w:t>
      </w:r>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指全权代表供应商参加投标活动并签署磋商响应文件的人。如果供应商代表不是法定代表人，须持有《法定代表人授权书》见附件五。</w:t>
      </w:r>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4、磋商响应费用</w:t>
      </w:r>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供应商应承担所有与准备和参加投标有关费用，不论投标的结果如何，采购人均无义务和责任承担这些费用。</w:t>
      </w:r>
    </w:p>
    <w:p>
      <w:pPr>
        <w:spacing w:before="100" w:beforeAutospacing="1" w:after="100" w:afterAutospacing="1" w:line="440" w:lineRule="exact"/>
        <w:jc w:val="center"/>
        <w:outlineLvl w:val="1"/>
        <w:rPr>
          <w:rFonts w:hint="eastAsia" w:ascii="新宋体" w:hAnsi="新宋体" w:eastAsia="新宋体" w:cs="新宋体"/>
          <w:b/>
          <w:bCs/>
          <w:color w:val="auto"/>
          <w:sz w:val="24"/>
          <w:highlight w:val="none"/>
        </w:rPr>
      </w:pPr>
      <w:bookmarkStart w:id="18" w:name="_Toc508785483"/>
      <w:r>
        <w:rPr>
          <w:rFonts w:hint="eastAsia" w:ascii="新宋体" w:hAnsi="新宋体" w:eastAsia="新宋体" w:cs="新宋体"/>
          <w:b/>
          <w:bCs/>
          <w:color w:val="auto"/>
          <w:sz w:val="24"/>
          <w:highlight w:val="none"/>
        </w:rPr>
        <w:t>二   竞争性磋商采购文件</w:t>
      </w:r>
      <w:bookmarkEnd w:id="18"/>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1、竞争性磋商采购文件由竞争性磋商采购文件目录所列内容及相关资料组成。</w:t>
      </w:r>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2、竞争性磋商采购文件的澄清</w:t>
      </w:r>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供应商对采购文件如有疑点要求澄清或质疑，或认为有必要与用户进行技术交流，须在磋商通知(邀请)函规定的质疑时间前用书面形式（包括信函、传真，下同）通知采购机构，采购机构将用书面形式予以答复。如有必要，可将不说明来源的答复发给各有关供应商。</w:t>
      </w:r>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3、竞争性磋商采购文件的修改</w:t>
      </w:r>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 在投标截止期5天前，采购人无论是出于何种原因，均可对竞争性磋商采购文件用补充文件的方式进行澄清和修改，并发布澄清和修改公告。该澄清和修改的内容为竞争性磋商采购文件的组成部分。采购人可以视采购具体情况在竞争性磋商采购文件要求提交截止时间3天前，做出延长投标截止时间和开标时间的决定，并将变更时间书面通知所有竞争性磋商采购文件收受人，并发布变更公告。</w:t>
      </w:r>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 供应商收到澄清和修改的补充文件，应立即以书面形式回复确认已收到补充文件。</w:t>
      </w:r>
    </w:p>
    <w:p>
      <w:pPr>
        <w:spacing w:before="100" w:beforeAutospacing="1" w:after="100" w:afterAutospacing="1" w:line="440" w:lineRule="exact"/>
        <w:jc w:val="center"/>
        <w:outlineLvl w:val="1"/>
        <w:rPr>
          <w:rFonts w:hint="eastAsia" w:ascii="新宋体" w:hAnsi="新宋体" w:eastAsia="新宋体" w:cs="新宋体"/>
          <w:b/>
          <w:bCs/>
          <w:color w:val="auto"/>
          <w:sz w:val="22"/>
          <w:szCs w:val="22"/>
          <w:highlight w:val="none"/>
        </w:rPr>
      </w:pPr>
      <w:bookmarkStart w:id="19" w:name="_Toc508785484"/>
      <w:r>
        <w:rPr>
          <w:rFonts w:hint="eastAsia" w:ascii="新宋体" w:hAnsi="新宋体" w:eastAsia="新宋体" w:cs="新宋体"/>
          <w:b/>
          <w:bCs/>
          <w:color w:val="auto"/>
          <w:sz w:val="22"/>
          <w:szCs w:val="22"/>
          <w:highlight w:val="none"/>
        </w:rPr>
        <w:t>三   磋商响应文件的编制</w:t>
      </w:r>
      <w:bookmarkEnd w:id="19"/>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应认真阅读竞争性磋商采购文件中所有事项格式、条款和技术规范等。供应商没有按照竞争性磋商采购文件要求提交全部资料，或者没有对竞争性磋商采购文件各个方面做出实质性响应，导致投标被拒绝的风险由供应商自行承担。</w:t>
      </w:r>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2、供应商应保证所提供文件资料的真实性，所有文件资料必须是针对本次投标的。如发现供应商提供了虚假文件资料，其投标将被拒绝，并自行承担相应的法律责任。</w:t>
      </w:r>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3、磋商响应文件的构成：</w:t>
      </w:r>
    </w:p>
    <w:p>
      <w:pPr>
        <w:tabs>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3.1 </w:t>
      </w:r>
      <w:r>
        <w:rPr>
          <w:rFonts w:hint="eastAsia" w:ascii="新宋体" w:hAnsi="新宋体" w:eastAsia="新宋体" w:cs="新宋体"/>
          <w:b/>
          <w:bCs/>
          <w:color w:val="auto"/>
          <w:sz w:val="22"/>
          <w:szCs w:val="22"/>
          <w:highlight w:val="none"/>
        </w:rPr>
        <w:t>磋商响应文件包括</w:t>
      </w:r>
      <w:r>
        <w:rPr>
          <w:rFonts w:hint="eastAsia" w:ascii="新宋体" w:hAnsi="新宋体" w:eastAsia="新宋体" w:cs="新宋体"/>
          <w:b/>
          <w:bCs/>
          <w:color w:val="auto"/>
          <w:kern w:val="0"/>
          <w:sz w:val="22"/>
          <w:szCs w:val="22"/>
          <w:highlight w:val="none"/>
        </w:rPr>
        <w:t>资格文件、技术资信标、商务标三部分,可</w:t>
      </w:r>
      <w:r>
        <w:rPr>
          <w:rFonts w:hint="eastAsia" w:ascii="新宋体" w:hAnsi="新宋体" w:eastAsia="新宋体" w:cs="新宋体"/>
          <w:b/>
          <w:bCs/>
          <w:color w:val="auto"/>
          <w:sz w:val="22"/>
          <w:szCs w:val="22"/>
          <w:highlight w:val="none"/>
        </w:rPr>
        <w:t>合并装订为一册</w:t>
      </w:r>
      <w:r>
        <w:rPr>
          <w:rFonts w:hint="eastAsia" w:ascii="新宋体" w:hAnsi="新宋体" w:eastAsia="新宋体" w:cs="新宋体"/>
          <w:color w:val="auto"/>
          <w:sz w:val="22"/>
          <w:szCs w:val="22"/>
          <w:highlight w:val="none"/>
        </w:rPr>
        <w:t>。</w:t>
      </w:r>
    </w:p>
    <w:p>
      <w:pPr>
        <w:spacing w:line="430" w:lineRule="exact"/>
        <w:rPr>
          <w:rFonts w:hint="eastAsia" w:ascii="新宋体" w:hAnsi="新宋体" w:eastAsia="新宋体" w:cs="新宋体"/>
          <w:b/>
          <w:color w:val="auto"/>
          <w:sz w:val="22"/>
          <w:szCs w:val="22"/>
          <w:highlight w:val="none"/>
        </w:rPr>
      </w:pPr>
      <w:bookmarkStart w:id="20" w:name="_Toc221356886"/>
      <w:r>
        <w:rPr>
          <w:rFonts w:hint="eastAsia" w:ascii="新宋体" w:hAnsi="新宋体" w:eastAsia="新宋体" w:cs="新宋体"/>
          <w:b/>
          <w:bCs/>
          <w:color w:val="auto"/>
          <w:sz w:val="22"/>
          <w:szCs w:val="22"/>
          <w:highlight w:val="none"/>
        </w:rPr>
        <w:t xml:space="preserve">3.1.1 </w:t>
      </w:r>
      <w:r>
        <w:rPr>
          <w:rFonts w:hint="eastAsia" w:ascii="新宋体" w:hAnsi="新宋体" w:eastAsia="新宋体" w:cs="新宋体"/>
          <w:b/>
          <w:color w:val="auto"/>
          <w:sz w:val="22"/>
          <w:szCs w:val="22"/>
          <w:highlight w:val="none"/>
        </w:rPr>
        <w:t>资格文件应包括下列部分：</w:t>
      </w:r>
    </w:p>
    <w:tbl>
      <w:tblPr>
        <w:tblStyle w:val="6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72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vAlign w:val="center"/>
          </w:tcPr>
          <w:p>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7724" w:type="dxa"/>
            <w:vAlign w:val="center"/>
          </w:tcPr>
          <w:p>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 容</w:t>
            </w:r>
          </w:p>
        </w:tc>
        <w:tc>
          <w:tcPr>
            <w:tcW w:w="1283" w:type="dxa"/>
            <w:vAlign w:val="center"/>
          </w:tcPr>
          <w:p>
            <w:pPr>
              <w:tabs>
                <w:tab w:val="center" w:pos="1534"/>
              </w:tabs>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vAlign w:val="center"/>
          </w:tcPr>
          <w:p>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7724" w:type="dxa"/>
          </w:tcPr>
          <w:p>
            <w:pPr>
              <w:overflowPunct w:val="0"/>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u w:val="single"/>
              </w:rPr>
              <w:t>▲资格文件（强制性要求，</w:t>
            </w:r>
            <w:r>
              <w:rPr>
                <w:rFonts w:hint="eastAsia" w:ascii="新宋体" w:hAnsi="新宋体" w:eastAsia="新宋体" w:cs="新宋体"/>
                <w:b/>
                <w:color w:val="auto"/>
                <w:sz w:val="22"/>
                <w:szCs w:val="22"/>
                <w:highlight w:val="none"/>
                <w:u w:val="single"/>
                <w:lang w:val="zh-CN"/>
              </w:rPr>
              <w:t>否则不能通过资格性审查的投标供应商，责任自负</w:t>
            </w:r>
            <w:r>
              <w:rPr>
                <w:rFonts w:hint="eastAsia" w:ascii="新宋体" w:hAnsi="新宋体" w:eastAsia="新宋体" w:cs="新宋体"/>
                <w:b/>
                <w:color w:val="auto"/>
                <w:sz w:val="22"/>
                <w:szCs w:val="22"/>
                <w:highlight w:val="none"/>
                <w:u w:val="single"/>
              </w:rPr>
              <w:t>）</w:t>
            </w:r>
          </w:p>
        </w:tc>
        <w:tc>
          <w:tcPr>
            <w:tcW w:w="1283" w:type="dxa"/>
            <w:vAlign w:val="center"/>
          </w:tcPr>
          <w:p>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vAlign w:val="center"/>
          </w:tcPr>
          <w:p>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1.1</w:t>
            </w:r>
          </w:p>
        </w:tc>
        <w:tc>
          <w:tcPr>
            <w:tcW w:w="7724"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p>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中提供相关材料），证明其具备实际承担责任的能力和法定的缔结合同能力，可以独立参加政府采购活动，由单位负责人签署相关文件材料；</w:t>
            </w:r>
          </w:p>
        </w:tc>
        <w:tc>
          <w:tcPr>
            <w:tcW w:w="1283" w:type="dxa"/>
            <w:vAlign w:val="center"/>
          </w:tcPr>
          <w:p>
            <w:pPr>
              <w:overflowPunct w:val="0"/>
              <w:spacing w:line="430" w:lineRule="exact"/>
              <w:jc w:val="center"/>
              <w:rPr>
                <w:rFonts w:hint="eastAsia" w:ascii="新宋体" w:hAnsi="新宋体" w:eastAsia="新宋体" w:cs="新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vAlign w:val="center"/>
          </w:tcPr>
          <w:p>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1.2</w:t>
            </w:r>
          </w:p>
        </w:tc>
        <w:tc>
          <w:tcPr>
            <w:tcW w:w="7724" w:type="dxa"/>
            <w:vAlign w:val="center"/>
          </w:tcPr>
          <w:p>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最近一个年度的资产负债表、损益表或利润表(新成立的公司，必须提供情况说明)</w:t>
            </w:r>
          </w:p>
        </w:tc>
        <w:tc>
          <w:tcPr>
            <w:tcW w:w="1283" w:type="dxa"/>
            <w:vAlign w:val="center"/>
          </w:tcPr>
          <w:p>
            <w:pPr>
              <w:overflowPunct w:val="0"/>
              <w:spacing w:line="430" w:lineRule="exact"/>
              <w:jc w:val="center"/>
              <w:rPr>
                <w:rFonts w:hint="eastAsia" w:ascii="新宋体" w:hAnsi="新宋体" w:eastAsia="新宋体" w:cs="新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vAlign w:val="center"/>
          </w:tcPr>
          <w:p>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w:t>
            </w:r>
          </w:p>
        </w:tc>
        <w:tc>
          <w:tcPr>
            <w:tcW w:w="7724" w:type="dxa"/>
            <w:vAlign w:val="center"/>
          </w:tcPr>
          <w:p>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zh-CN"/>
              </w:rPr>
              <w:t>具有履行合同所必需的设备和专业技术能力的承诺函</w:t>
            </w:r>
          </w:p>
        </w:tc>
        <w:tc>
          <w:tcPr>
            <w:tcW w:w="1283" w:type="dxa"/>
            <w:vAlign w:val="center"/>
          </w:tcPr>
          <w:p>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 w:type="dxa"/>
            <w:vAlign w:val="center"/>
          </w:tcPr>
          <w:p>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1.4</w:t>
            </w:r>
          </w:p>
        </w:tc>
        <w:tc>
          <w:tcPr>
            <w:tcW w:w="7724" w:type="dxa"/>
            <w:vAlign w:val="center"/>
          </w:tcPr>
          <w:p>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zh-CN"/>
              </w:rPr>
              <w:t>参加政府采购活动前3年内</w:t>
            </w:r>
            <w:r>
              <w:rPr>
                <w:rFonts w:hint="eastAsia" w:ascii="新宋体" w:hAnsi="新宋体" w:eastAsia="新宋体" w:cs="新宋体"/>
                <w:color w:val="auto"/>
                <w:sz w:val="22"/>
                <w:szCs w:val="22"/>
                <w:highlight w:val="none"/>
              </w:rPr>
              <w:t>（新成立不满三年的组织机构自成立之日起算）</w:t>
            </w:r>
            <w:r>
              <w:rPr>
                <w:rFonts w:hint="eastAsia" w:ascii="新宋体" w:hAnsi="新宋体" w:eastAsia="新宋体" w:cs="新宋体"/>
                <w:color w:val="auto"/>
                <w:sz w:val="22"/>
                <w:szCs w:val="22"/>
                <w:highlight w:val="none"/>
                <w:lang w:val="zh-CN"/>
              </w:rPr>
              <w:t>在经营活动中没有重大违法记录的声明函</w:t>
            </w:r>
          </w:p>
        </w:tc>
        <w:tc>
          <w:tcPr>
            <w:tcW w:w="1283" w:type="dxa"/>
            <w:vAlign w:val="center"/>
          </w:tcPr>
          <w:p>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w:t>
            </w:r>
          </w:p>
        </w:tc>
      </w:tr>
    </w:tbl>
    <w:p>
      <w:pPr>
        <w:spacing w:line="43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注：▲上述基本资格条件审查材料、特定资格条件审查材料有一项不提供的，视为资格审查不通过,不进入后续评审。</w:t>
      </w:r>
    </w:p>
    <w:p>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3.1.2</w:t>
      </w:r>
      <w:r>
        <w:rPr>
          <w:rFonts w:hint="eastAsia" w:ascii="新宋体" w:hAnsi="新宋体" w:eastAsia="新宋体" w:cs="新宋体"/>
          <w:color w:val="auto"/>
          <w:sz w:val="22"/>
          <w:szCs w:val="22"/>
          <w:highlight w:val="none"/>
        </w:rPr>
        <w:t xml:space="preserve"> 磋商响应文件技术资信标应包括下列部分：</w:t>
      </w:r>
    </w:p>
    <w:tbl>
      <w:tblPr>
        <w:tblStyle w:val="6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92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7920"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86"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920" w:type="dxa"/>
            <w:vAlign w:val="center"/>
          </w:tcPr>
          <w:p>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磋商函</w:t>
            </w:r>
          </w:p>
        </w:tc>
        <w:tc>
          <w:tcPr>
            <w:tcW w:w="1286"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920"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技术参数应答表、</w:t>
            </w:r>
            <w:r>
              <w:rPr>
                <w:rFonts w:hint="eastAsia" w:ascii="新宋体" w:hAnsi="新宋体" w:eastAsia="新宋体" w:cs="新宋体"/>
                <w:color w:val="auto"/>
                <w:sz w:val="22"/>
                <w:szCs w:val="22"/>
                <w:highlight w:val="none"/>
              </w:rPr>
              <w:t>商务条款偏离表</w:t>
            </w:r>
          </w:p>
        </w:tc>
        <w:tc>
          <w:tcPr>
            <w:tcW w:w="1286"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920" w:type="dxa"/>
            <w:vAlign w:val="center"/>
          </w:tcPr>
          <w:p>
            <w:pPr>
              <w:rPr>
                <w:rFonts w:hint="eastAsia" w:ascii="新宋体" w:hAnsi="新宋体" w:eastAsia="新宋体" w:cs="新宋体"/>
                <w:b/>
                <w:color w:val="auto"/>
                <w:sz w:val="22"/>
                <w:szCs w:val="22"/>
                <w:highlight w:val="none"/>
                <w:u w:val="single"/>
              </w:rPr>
            </w:pPr>
            <w:r>
              <w:rPr>
                <w:rFonts w:hint="eastAsia" w:ascii="新宋体" w:hAnsi="新宋体" w:eastAsia="新宋体" w:cs="新宋体"/>
                <w:color w:val="auto"/>
                <w:sz w:val="22"/>
                <w:szCs w:val="22"/>
                <w:highlight w:val="none"/>
              </w:rPr>
              <w:t>法定代表人授权书</w:t>
            </w:r>
          </w:p>
        </w:tc>
        <w:tc>
          <w:tcPr>
            <w:tcW w:w="1286" w:type="dxa"/>
            <w:vAlign w:val="center"/>
          </w:tcPr>
          <w:p>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920" w:type="dxa"/>
            <w:vAlign w:val="center"/>
          </w:tcPr>
          <w:p>
            <w:pP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资信证明文件（本部分为技术资信分评分内容，各投标供应商根据自身情况提供）</w:t>
            </w:r>
          </w:p>
        </w:tc>
        <w:tc>
          <w:tcPr>
            <w:tcW w:w="1286" w:type="dxa"/>
            <w:vAlign w:val="center"/>
          </w:tcPr>
          <w:p>
            <w:pP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920" w:type="dxa"/>
            <w:vAlign w:val="center"/>
          </w:tcPr>
          <w:p>
            <w:pPr>
              <w:tabs>
                <w:tab w:val="left" w:pos="780"/>
                <w:tab w:val="left" w:pos="5355"/>
              </w:tabs>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投标供应商2015年7月1日至今承担过的同类项目业绩</w:t>
            </w:r>
          </w:p>
        </w:tc>
        <w:tc>
          <w:tcPr>
            <w:tcW w:w="1286"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920" w:type="dxa"/>
            <w:vAlign w:val="center"/>
          </w:tcPr>
          <w:p>
            <w:pPr>
              <w:tabs>
                <w:tab w:val="left" w:pos="780"/>
                <w:tab w:val="left" w:pos="5355"/>
              </w:tabs>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其它资信证明文件复印件</w:t>
            </w:r>
          </w:p>
        </w:tc>
        <w:tc>
          <w:tcPr>
            <w:tcW w:w="1286"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w:t>
            </w:r>
          </w:p>
        </w:tc>
        <w:tc>
          <w:tcPr>
            <w:tcW w:w="7920" w:type="dxa"/>
            <w:vAlign w:val="center"/>
          </w:tcPr>
          <w:p>
            <w:pPr>
              <w:tabs>
                <w:tab w:val="left" w:pos="780"/>
                <w:tab w:val="left" w:pos="5355"/>
              </w:tabs>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供应商为完成本项目组建的工作小组名单及相关的资质证明文件</w:t>
            </w:r>
          </w:p>
        </w:tc>
        <w:tc>
          <w:tcPr>
            <w:tcW w:w="1286"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920"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投标供应商简介</w:t>
            </w:r>
          </w:p>
        </w:tc>
        <w:tc>
          <w:tcPr>
            <w:tcW w:w="1286"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920"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所投软件系统构建方案、功能模块、参数指标等的详细描述</w:t>
            </w:r>
          </w:p>
        </w:tc>
        <w:tc>
          <w:tcPr>
            <w:tcW w:w="1286"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920"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针对本项目建设的详细实施计划，包括安装调试、系统集成、试运行、测试、系统管理培训、系统运行维护培训等内容</w:t>
            </w:r>
          </w:p>
        </w:tc>
        <w:tc>
          <w:tcPr>
            <w:tcW w:w="1286"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920"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项目验收之前、验收之后的系统维护方案，系统扩展方案以及培训方案。投标人应以书面形式完整准确地表述以上方案实施范围、标准及期限以及可能增加的服务承诺等内容</w:t>
            </w:r>
          </w:p>
        </w:tc>
        <w:tc>
          <w:tcPr>
            <w:tcW w:w="1286"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920"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项目实施进度计划表(格式自定)</w:t>
            </w:r>
          </w:p>
        </w:tc>
        <w:tc>
          <w:tcPr>
            <w:tcW w:w="1286"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920" w:type="dxa"/>
            <w:vAlign w:val="center"/>
          </w:tcPr>
          <w:p>
            <w:pPr>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软件开发商出具的授权函，若供应商为软件开发商授权的供应商，须附软件开发商有效营业执照副本，加盖软件开发商有效公章（如适用）</w:t>
            </w:r>
          </w:p>
        </w:tc>
        <w:tc>
          <w:tcPr>
            <w:tcW w:w="1286"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920" w:type="dxa"/>
            <w:vAlign w:val="center"/>
          </w:tcPr>
          <w:p>
            <w:pPr>
              <w:tabs>
                <w:tab w:val="left" w:pos="780"/>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质量保证服务计划、售后服务措施及承诺表</w:t>
            </w:r>
          </w:p>
        </w:tc>
        <w:tc>
          <w:tcPr>
            <w:tcW w:w="1286" w:type="dxa"/>
            <w:vAlign w:val="center"/>
          </w:tcPr>
          <w:p>
            <w:pPr>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vAlign w:val="center"/>
          </w:tcPr>
          <w:p>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920" w:type="dxa"/>
            <w:vAlign w:val="center"/>
          </w:tcPr>
          <w:p>
            <w:pPr>
              <w:tabs>
                <w:tab w:val="left" w:pos="780"/>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投标供应商需要说明的其他文件和说明（如有）</w:t>
            </w:r>
          </w:p>
        </w:tc>
        <w:tc>
          <w:tcPr>
            <w:tcW w:w="1286" w:type="dxa"/>
            <w:vAlign w:val="center"/>
          </w:tcPr>
          <w:p>
            <w:pPr>
              <w:jc w:val="center"/>
              <w:rPr>
                <w:rFonts w:hint="eastAsia" w:ascii="新宋体" w:hAnsi="新宋体" w:eastAsia="新宋体" w:cs="新宋体"/>
                <w:color w:val="auto"/>
                <w:sz w:val="22"/>
                <w:szCs w:val="22"/>
                <w:highlight w:val="none"/>
              </w:rPr>
            </w:pPr>
          </w:p>
        </w:tc>
      </w:tr>
    </w:tbl>
    <w:p>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w:t>
      </w:r>
    </w:p>
    <w:p>
      <w:pPr>
        <w:numPr>
          <w:ilvl w:val="0"/>
          <w:numId w:val="4"/>
        </w:num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投标供应商2015年7月1日至今承担过的同类项目业绩</w:t>
      </w:r>
      <w:r>
        <w:rPr>
          <w:rFonts w:hint="eastAsia" w:ascii="新宋体" w:hAnsi="新宋体" w:eastAsia="新宋体" w:cs="新宋体"/>
          <w:bCs/>
          <w:color w:val="auto"/>
          <w:sz w:val="22"/>
          <w:szCs w:val="22"/>
          <w:highlight w:val="none"/>
        </w:rPr>
        <w:t>：</w:t>
      </w:r>
    </w:p>
    <w:p>
      <w:pPr>
        <w:numPr>
          <w:ilvl w:val="0"/>
          <w:numId w:val="5"/>
        </w:numPr>
        <w:tabs>
          <w:tab w:val="left" w:pos="1260"/>
          <w:tab w:val="left" w:pos="5355"/>
        </w:tabs>
        <w:spacing w:line="430" w:lineRule="exact"/>
        <w:ind w:left="1260" w:hanging="36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每项业绩须提供证明文件，业绩证明文件以合同文本及结项验收报告复印件为准（原件备查）；</w:t>
      </w:r>
    </w:p>
    <w:p>
      <w:pPr>
        <w:numPr>
          <w:ilvl w:val="0"/>
          <w:numId w:val="5"/>
        </w:numPr>
        <w:tabs>
          <w:tab w:val="left" w:pos="1260"/>
          <w:tab w:val="left" w:pos="5355"/>
        </w:tabs>
        <w:spacing w:line="430" w:lineRule="exact"/>
        <w:ind w:left="1260" w:hanging="36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合同签订时间及合同履行时间均为有效时间；</w:t>
      </w:r>
    </w:p>
    <w:p>
      <w:pPr>
        <w:numPr>
          <w:ilvl w:val="0"/>
          <w:numId w:val="5"/>
        </w:numPr>
        <w:tabs>
          <w:tab w:val="left" w:pos="1260"/>
          <w:tab w:val="left" w:pos="5355"/>
        </w:tabs>
        <w:spacing w:line="430" w:lineRule="exact"/>
        <w:ind w:left="1260" w:hanging="36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投标供应商所提供业绩不符合以上要求，在技术资信评审中将不被认可。</w:t>
      </w:r>
    </w:p>
    <w:p>
      <w:pPr>
        <w:numPr>
          <w:ilvl w:val="0"/>
          <w:numId w:val="4"/>
        </w:num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制造商出具的授权函：</w:t>
      </w:r>
    </w:p>
    <w:p>
      <w:pPr>
        <w:tabs>
          <w:tab w:val="left" w:pos="5355"/>
        </w:tabs>
        <w:spacing w:line="430" w:lineRule="exact"/>
        <w:ind w:left="36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产品制造商若不直接参加本次采购活动的，可以授权一家供应商代表其参加采购活动。若授权多家代理商参加的，评审时，磋商小组参照《政府采购货物和服务招标投标管理办法》（87号令）第三十一条相关规定执行。</w:t>
      </w:r>
    </w:p>
    <w:p>
      <w:pPr>
        <w:tabs>
          <w:tab w:val="left" w:pos="5355"/>
        </w:tabs>
        <w:spacing w:line="430" w:lineRule="exact"/>
        <w:ind w:left="36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3）软件产品现场案例演示及答辩：</w:t>
      </w:r>
    </w:p>
    <w:p>
      <w:pPr>
        <w:tabs>
          <w:tab w:val="left" w:pos="5355"/>
        </w:tabs>
        <w:spacing w:line="43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◆本项目招标设立软件产品现场案例演示及答辩环节，讲解与演示时间不超过20分钟，演示同类行业案例，需满足采购需求；</w:t>
      </w:r>
    </w:p>
    <w:p>
      <w:pPr>
        <w:tabs>
          <w:tab w:val="left" w:pos="5355"/>
        </w:tabs>
        <w:spacing w:line="430" w:lineRule="exact"/>
        <w:ind w:left="36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◆软件产品现场案例演示及答辩工作由投标人拟派项目负责人承担；</w:t>
      </w:r>
    </w:p>
    <w:p>
      <w:pPr>
        <w:tabs>
          <w:tab w:val="left" w:pos="5355"/>
        </w:tabs>
        <w:spacing w:line="430" w:lineRule="exact"/>
        <w:ind w:left="36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◆投标人可自行决定：是否参与软件产品现场案例演示及答辩工作；以现有软件产品进行产品介绍；是否由项目负责人进行演示及答辩。但以上内容将在技术资信评分环节得到量化。</w:t>
      </w:r>
    </w:p>
    <w:p>
      <w:pPr>
        <w:tabs>
          <w:tab w:val="left" w:pos="5355"/>
        </w:tabs>
        <w:spacing w:line="430" w:lineRule="exact"/>
        <w:ind w:left="36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4）投标供应商可根据采购文件中的技术规格书以及技术资信评分表，提供投标供应商认为需要提供的文件和资料。</w:t>
      </w:r>
    </w:p>
    <w:p>
      <w:pPr>
        <w:tabs>
          <w:tab w:val="left" w:pos="5355"/>
        </w:tabs>
        <w:spacing w:line="430" w:lineRule="exact"/>
        <w:ind w:left="36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5）磋商响应文件中应承诺：</w:t>
      </w:r>
      <w:r>
        <w:rPr>
          <w:rFonts w:hint="eastAsia" w:ascii="新宋体" w:hAnsi="新宋体" w:eastAsia="新宋体" w:cs="新宋体"/>
          <w:b/>
          <w:color w:val="auto"/>
          <w:sz w:val="22"/>
          <w:szCs w:val="22"/>
          <w:highlight w:val="none"/>
          <w:u w:val="single"/>
        </w:rPr>
        <w:t>投标供应商所提供的服务\货物的所有权归采购人所有。如若发生第三方侵权事件，其侵权责任与采购人及招标代理机构无关，由投标供应商承担全部责任。侵权造成的所有相关费用，均由投标供应商支付，保证不伤害采购人的利益</w:t>
      </w:r>
      <w:r>
        <w:rPr>
          <w:rFonts w:hint="eastAsia" w:ascii="新宋体" w:hAnsi="新宋体" w:eastAsia="新宋体" w:cs="新宋体"/>
          <w:b/>
          <w:color w:val="auto"/>
          <w:sz w:val="22"/>
          <w:szCs w:val="22"/>
          <w:highlight w:val="none"/>
        </w:rPr>
        <w:t>。</w:t>
      </w:r>
    </w:p>
    <w:p>
      <w:pPr>
        <w:tabs>
          <w:tab w:val="left" w:pos="5355"/>
        </w:tabs>
        <w:spacing w:line="430" w:lineRule="exact"/>
        <w:ind w:left="36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6）以上所需的各种证书、证件、证明、执照若系复印件，须在复印件上加盖投标供应商有效的公章。</w:t>
      </w:r>
    </w:p>
    <w:p>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3.1.3</w:t>
      </w:r>
      <w:r>
        <w:rPr>
          <w:rFonts w:hint="eastAsia" w:ascii="新宋体" w:hAnsi="新宋体" w:eastAsia="新宋体" w:cs="新宋体"/>
          <w:b/>
          <w:color w:val="auto"/>
          <w:sz w:val="22"/>
          <w:szCs w:val="22"/>
          <w:highlight w:val="none"/>
        </w:rPr>
        <w:t xml:space="preserve"> 商务标应包括下列部分</w:t>
      </w:r>
    </w:p>
    <w:tbl>
      <w:tblPr>
        <w:tblStyle w:val="6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369"/>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8" w:type="dxa"/>
            <w:vAlign w:val="center"/>
          </w:tcPr>
          <w:p>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7369" w:type="dxa"/>
            <w:vAlign w:val="center"/>
          </w:tcPr>
          <w:p>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577" w:type="dxa"/>
            <w:vAlign w:val="center"/>
          </w:tcPr>
          <w:p>
            <w:pPr>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8" w:type="dxa"/>
            <w:vAlign w:val="center"/>
          </w:tcPr>
          <w:p>
            <w:pPr>
              <w:spacing w:line="43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369" w:type="dxa"/>
            <w:vAlign w:val="center"/>
          </w:tcPr>
          <w:p>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报价一览表</w:t>
            </w:r>
          </w:p>
        </w:tc>
        <w:tc>
          <w:tcPr>
            <w:tcW w:w="1577" w:type="dxa"/>
            <w:vAlign w:val="center"/>
          </w:tcPr>
          <w:p>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8" w:type="dxa"/>
            <w:vAlign w:val="center"/>
          </w:tcPr>
          <w:p>
            <w:pPr>
              <w:spacing w:line="43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369" w:type="dxa"/>
            <w:vAlign w:val="center"/>
          </w:tcPr>
          <w:p>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分项报价表</w:t>
            </w:r>
          </w:p>
        </w:tc>
        <w:tc>
          <w:tcPr>
            <w:tcW w:w="1577" w:type="dxa"/>
            <w:vAlign w:val="center"/>
          </w:tcPr>
          <w:p>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8" w:type="dxa"/>
            <w:vAlign w:val="center"/>
          </w:tcPr>
          <w:p>
            <w:pPr>
              <w:spacing w:line="43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369" w:type="dxa"/>
            <w:vAlign w:val="center"/>
          </w:tcPr>
          <w:p>
            <w:p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中小企业声明函（或监狱企业声明函）及其相关的充分的证明材料、残疾人福利性单位声明函</w:t>
            </w:r>
          </w:p>
        </w:tc>
        <w:tc>
          <w:tcPr>
            <w:tcW w:w="1577" w:type="dxa"/>
            <w:vAlign w:val="center"/>
          </w:tcPr>
          <w:p>
            <w:p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采购文件第二部分相关附件</w:t>
            </w:r>
          </w:p>
        </w:tc>
      </w:tr>
      <w:bookmarkEnd w:id="20"/>
    </w:tbl>
    <w:p>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3.2 磋商响应文件格式</w:t>
      </w:r>
    </w:p>
    <w:p>
      <w:pPr>
        <w:numPr>
          <w:ilvl w:val="0"/>
          <w:numId w:val="6"/>
        </w:num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供应商应根据竞争性磋商采购文件中所提供的格式，内容按顺序填写并装订成册,不允许以活页夹形式装订磋商响应文件；</w:t>
      </w:r>
    </w:p>
    <w:p>
      <w:pPr>
        <w:numPr>
          <w:ilvl w:val="0"/>
          <w:numId w:val="6"/>
        </w:num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资格文件、技术资信标、商务标可合并装订为一册,密封于标函袋中，标函袋不做统一要求；</w:t>
      </w:r>
    </w:p>
    <w:p>
      <w:pPr>
        <w:numPr>
          <w:ilvl w:val="0"/>
          <w:numId w:val="6"/>
        </w:num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磋商响应文件应有目录以及页码，以便评委检索；</w:t>
      </w:r>
    </w:p>
    <w:p>
      <w:pPr>
        <w:tabs>
          <w:tab w:val="left" w:pos="-180"/>
          <w:tab w:val="left" w:pos="180"/>
          <w:tab w:val="left" w:pos="360"/>
        </w:tabs>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 证书原件：</w:t>
      </w:r>
    </w:p>
    <w:p>
      <w:pPr>
        <w:tabs>
          <w:tab w:val="left" w:pos="-180"/>
          <w:tab w:val="left" w:pos="180"/>
          <w:tab w:val="left" w:pos="360"/>
        </w:tabs>
        <w:spacing w:line="360" w:lineRule="auto"/>
        <w:ind w:firstLine="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证书、证件、证明等原件，属备查项目，供应商可将原件单独包封，但不需与磋商响应文件一同递交，若磋商小组对各供应商响应文件进行评审期间需要对相关证明文件原件进行审核，则由采购代理机构要求供应商提交，届时无法提交的，有可能影响其技术资信得分。</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4、投标报价</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项目投标报价为服务期限内的承包费用报价。承包总价为中标人在正确地完全履行合同义务后采购人应支付给中标人所有的服务价款，即系统软件平台的建立、调试、运行、维护/升级费用、税金等完成本项目所需的人工费以及采购代理服务费等全部费用，实行固定费用总包干，投标供应商应根据上述因素自行考虑含入投标总价。</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4.2谈判供应商所报的价格在合同执行过程中是固定不变的，不得以任何理由予以变更。任何包含价格调整的要求，将被认为是非实质性响应报价而予以拒绝。</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4.3 供应商应先到项目实施地点及任何其它足以影响投标报价的情况，任何因忽视或误解项目实际情况而导致的索赔或服务期延长申请将不获批准。</w:t>
      </w:r>
    </w:p>
    <w:p>
      <w:pPr>
        <w:tabs>
          <w:tab w:val="left" w:pos="54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投标保证金</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5.1  ▲</w:t>
      </w:r>
      <w:r>
        <w:rPr>
          <w:rFonts w:hint="eastAsia" w:ascii="新宋体" w:hAnsi="新宋体" w:eastAsia="新宋体" w:cs="新宋体"/>
          <w:b/>
          <w:bCs/>
          <w:color w:val="auto"/>
          <w:sz w:val="22"/>
          <w:szCs w:val="22"/>
          <w:highlight w:val="none"/>
          <w:u w:val="single"/>
        </w:rPr>
        <w:t>供应商须提供由投标单位汇出的投标保证金（金额详见《供应商须知前附表》），否则采购人将不接受其投标</w:t>
      </w:r>
      <w:r>
        <w:rPr>
          <w:rFonts w:hint="eastAsia" w:ascii="新宋体" w:hAnsi="新宋体" w:eastAsia="新宋体" w:cs="新宋体"/>
          <w:color w:val="auto"/>
          <w:sz w:val="22"/>
          <w:szCs w:val="22"/>
          <w:highlight w:val="none"/>
        </w:rPr>
        <w:t>。</w:t>
      </w:r>
    </w:p>
    <w:p>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5.2   成交供应商的投标保证金在与买方签订了合同，合同报采购代理机构备案后5个工作日内无息退还，未中标供应商的投标保证金将在确定成交供应商后5个工作日内无息退还。 </w:t>
      </w:r>
    </w:p>
    <w:p>
      <w:pPr>
        <w:spacing w:line="360" w:lineRule="auto"/>
        <w:ind w:left="663" w:hanging="663" w:hangingChars="300"/>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 xml:space="preserve">5.3   </w:t>
      </w:r>
      <w:r>
        <w:rPr>
          <w:rFonts w:hint="eastAsia" w:ascii="新宋体" w:hAnsi="新宋体" w:eastAsia="新宋体" w:cs="新宋体"/>
          <w:b/>
          <w:bCs/>
          <w:color w:val="auto"/>
          <w:sz w:val="22"/>
          <w:szCs w:val="22"/>
          <w:highlight w:val="none"/>
          <w:u w:val="single"/>
        </w:rPr>
        <w:t>▲如发生下列情况之一，投标保证金将不予退还：</w:t>
      </w:r>
    </w:p>
    <w:p>
      <w:pPr>
        <w:spacing w:line="360" w:lineRule="auto"/>
        <w:ind w:left="660" w:hanging="660" w:hangingChars="3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供应商在竞争性磋商采购文件规定的磋商响应文件有效期内撤回投标；</w:t>
      </w:r>
    </w:p>
    <w:p>
      <w:pPr>
        <w:spacing w:line="360" w:lineRule="auto"/>
        <w:ind w:left="759" w:hanging="759" w:hangingChars="3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 成交供应商未按中标（成交）通知书中规定的时间与采购人签订合同；</w:t>
      </w:r>
    </w:p>
    <w:p>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成交供应商在规定期限内未能根据竞争性磋商采购文件要求提供履约保证金；</w:t>
      </w:r>
    </w:p>
    <w:p>
      <w:pPr>
        <w:spacing w:line="360" w:lineRule="auto"/>
        <w:ind w:left="648" w:leftChars="-14" w:hanging="677" w:hangingChars="308"/>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（4）  供应商在竞争性磋商采购文件中提供虚假信息，或在开标时提供虚假承诺，经磋商小组确认属实的。</w:t>
      </w:r>
    </w:p>
    <w:p>
      <w:pPr>
        <w:spacing w:line="360" w:lineRule="auto"/>
        <w:ind w:left="663" w:hanging="663" w:hangingChars="3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6．   磋商响应文件有效期</w:t>
      </w:r>
    </w:p>
    <w:p>
      <w:pPr>
        <w:spacing w:line="360" w:lineRule="auto"/>
        <w:ind w:left="663" w:hanging="663" w:hangingChars="3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 xml:space="preserve">6.1   </w:t>
      </w:r>
      <w:r>
        <w:rPr>
          <w:rFonts w:hint="eastAsia" w:ascii="新宋体" w:hAnsi="新宋体" w:eastAsia="新宋体" w:cs="新宋体"/>
          <w:b/>
          <w:bCs/>
          <w:color w:val="auto"/>
          <w:sz w:val="22"/>
          <w:szCs w:val="22"/>
          <w:highlight w:val="none"/>
          <w:u w:val="single"/>
        </w:rPr>
        <w:t>▲自开标之日起90天内投标应保持有效。磋商响应文件有效期短于这个规定期限的投标将视为非响应性投标而予以拒绝。</w:t>
      </w:r>
    </w:p>
    <w:p>
      <w:pPr>
        <w:spacing w:line="360" w:lineRule="auto"/>
        <w:ind w:left="660" w:hanging="660" w:hanging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6.2   特殊情况下，在原磋商响应文件有效期截止前，采购人可与供应商协商延长磋商响应文件有效期，这种要求和答复均以书面形式进行。供应商可拒绝接受延期要求，而不会导致投标保证金不予退还。同意延长磋商响应文件有效期的供应商不得修改磋商响应文件。有关退还和不予退还投标保证金的规定在磋商响应文件有效期的延长期内继续有效。</w:t>
      </w:r>
    </w:p>
    <w:p>
      <w:pPr>
        <w:spacing w:line="360" w:lineRule="auto"/>
        <w:ind w:left="660" w:hanging="660" w:hangingChars="3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 xml:space="preserve">7．   </w:t>
      </w:r>
      <w:r>
        <w:rPr>
          <w:rFonts w:hint="eastAsia" w:ascii="新宋体" w:hAnsi="新宋体" w:eastAsia="新宋体" w:cs="新宋体"/>
          <w:color w:val="auto"/>
          <w:sz w:val="22"/>
          <w:szCs w:val="22"/>
          <w:highlight w:val="none"/>
        </w:rPr>
        <w:t>磋商响应文件</w:t>
      </w:r>
      <w:r>
        <w:rPr>
          <w:rFonts w:hint="eastAsia" w:ascii="新宋体" w:hAnsi="新宋体" w:eastAsia="新宋体" w:cs="新宋体"/>
          <w:bCs/>
          <w:color w:val="auto"/>
          <w:sz w:val="22"/>
          <w:szCs w:val="22"/>
          <w:highlight w:val="none"/>
        </w:rPr>
        <w:t>的签署和规定</w:t>
      </w:r>
    </w:p>
    <w:p>
      <w:pPr>
        <w:numPr>
          <w:ilvl w:val="1"/>
          <w:numId w:val="7"/>
        </w:numPr>
        <w:tabs>
          <w:tab w:val="left" w:pos="540"/>
          <w:tab w:val="clear" w:pos="992"/>
        </w:tabs>
        <w:spacing w:line="460" w:lineRule="exact"/>
        <w:ind w:left="540" w:hanging="54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供应商应提供一式四份的磋商响应文件，分别装订成册。其中正本一份、副本三份，每套磋商响应文件的封面应清楚标明“正本”或“副本”字样，若“正本”与“副本”不符，以“正本”为准。</w:t>
      </w:r>
    </w:p>
    <w:p>
      <w:pPr>
        <w:spacing w:line="360" w:lineRule="auto"/>
        <w:ind w:left="660" w:hanging="660" w:hanging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7.2   </w:t>
      </w:r>
      <w:r>
        <w:rPr>
          <w:rFonts w:hint="eastAsia" w:ascii="新宋体" w:hAnsi="新宋体" w:eastAsia="新宋体" w:cs="新宋体"/>
          <w:b/>
          <w:bCs/>
          <w:color w:val="auto"/>
          <w:sz w:val="22"/>
          <w:szCs w:val="22"/>
          <w:highlight w:val="none"/>
        </w:rPr>
        <w:t>磋商响应文件的正本必须打印或用不褪色的墨水书写，并由法定代表人或其授权代表签署，副本可用正本的复印。</w:t>
      </w:r>
    </w:p>
    <w:p>
      <w:pPr>
        <w:spacing w:line="360" w:lineRule="auto"/>
        <w:ind w:left="660" w:hanging="660" w:hanging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7.3   磋商响应文件如有修改和增删必须由法定代表人或其授权代表在修改和增删处旁签署或盖章，方才有效。</w:t>
      </w:r>
    </w:p>
    <w:p>
      <w:pPr>
        <w:spacing w:line="360" w:lineRule="auto"/>
        <w:ind w:left="660" w:hanging="660" w:hanging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7.4   磋商响应文件字迹模糊或在关键的技术、商务条款上表述不清楚，将可能导致其投标被拒绝。</w:t>
      </w:r>
    </w:p>
    <w:p>
      <w:pPr>
        <w:tabs>
          <w:tab w:val="left" w:pos="420"/>
        </w:tabs>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 xml:space="preserve">8．   </w:t>
      </w:r>
      <w:r>
        <w:rPr>
          <w:rFonts w:hint="eastAsia" w:ascii="新宋体" w:hAnsi="新宋体" w:eastAsia="新宋体" w:cs="新宋体"/>
          <w:color w:val="auto"/>
          <w:sz w:val="22"/>
          <w:szCs w:val="22"/>
          <w:highlight w:val="none"/>
        </w:rPr>
        <w:t>磋商响应文件</w:t>
      </w:r>
      <w:r>
        <w:rPr>
          <w:rFonts w:hint="eastAsia" w:ascii="新宋体" w:hAnsi="新宋体" w:eastAsia="新宋体" w:cs="新宋体"/>
          <w:bCs/>
          <w:color w:val="auto"/>
          <w:sz w:val="22"/>
          <w:szCs w:val="22"/>
          <w:highlight w:val="none"/>
        </w:rPr>
        <w:t>的密封及标记</w:t>
      </w:r>
    </w:p>
    <w:p>
      <w:pPr>
        <w:numPr>
          <w:ilvl w:val="1"/>
          <w:numId w:val="8"/>
        </w:numPr>
        <w:tabs>
          <w:tab w:val="left" w:pos="540"/>
          <w:tab w:val="clear" w:pos="992"/>
        </w:tabs>
        <w:spacing w:line="360" w:lineRule="auto"/>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供应商必须将磋商响应文件与证书原件分别单独密封，且在各自的密封袋上标明磋商响应文件和证书原件字样。封口处贴上封条，启封处加盖投标单位公章并由法定代表人或其授权代表签字。封皮上写明投标项目名称、项目编号,并注明“开标时启封”字样。</w:t>
      </w:r>
    </w:p>
    <w:p>
      <w:pPr>
        <w:spacing w:line="360" w:lineRule="auto"/>
        <w:ind w:left="642" w:hanging="642" w:hangingChars="292"/>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8.2   </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color w:val="auto"/>
          <w:sz w:val="22"/>
          <w:szCs w:val="22"/>
          <w:highlight w:val="none"/>
          <w:u w:val="single"/>
        </w:rPr>
        <w:t>如果供应商未按上述要求密封及加写标记，采购人对磋商响应文件的误投和提前启封不负责任。</w:t>
      </w:r>
    </w:p>
    <w:p>
      <w:pPr>
        <w:spacing w:before="100" w:beforeAutospacing="1" w:after="100" w:afterAutospacing="1" w:line="440" w:lineRule="exact"/>
        <w:jc w:val="center"/>
        <w:outlineLvl w:val="1"/>
        <w:rPr>
          <w:rFonts w:hint="eastAsia" w:ascii="新宋体" w:hAnsi="新宋体" w:eastAsia="新宋体" w:cs="新宋体"/>
          <w:b/>
          <w:bCs/>
          <w:color w:val="auto"/>
          <w:sz w:val="22"/>
          <w:szCs w:val="22"/>
          <w:highlight w:val="none"/>
        </w:rPr>
      </w:pPr>
      <w:bookmarkStart w:id="21" w:name="_Toc508785485"/>
      <w:r>
        <w:rPr>
          <w:rFonts w:hint="eastAsia" w:ascii="新宋体" w:hAnsi="新宋体" w:eastAsia="新宋体" w:cs="新宋体"/>
          <w:b/>
          <w:bCs/>
          <w:color w:val="auto"/>
          <w:sz w:val="22"/>
          <w:szCs w:val="22"/>
          <w:highlight w:val="none"/>
        </w:rPr>
        <w:t>四   磋商响应文件的递交</w:t>
      </w:r>
      <w:bookmarkEnd w:id="21"/>
    </w:p>
    <w:p>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Cs w:val="21"/>
          <w:highlight w:val="none"/>
        </w:rPr>
        <w:t xml:space="preserve">1． </w:t>
      </w:r>
      <w:r>
        <w:rPr>
          <w:rFonts w:hint="eastAsia" w:ascii="新宋体" w:hAnsi="新宋体" w:eastAsia="新宋体" w:cs="新宋体"/>
          <w:bCs/>
          <w:color w:val="auto"/>
          <w:sz w:val="22"/>
          <w:szCs w:val="22"/>
          <w:highlight w:val="none"/>
        </w:rPr>
        <w:t xml:space="preserve"> </w:t>
      </w:r>
      <w:r>
        <w:rPr>
          <w:rFonts w:hint="eastAsia" w:ascii="新宋体" w:hAnsi="新宋体" w:eastAsia="新宋体" w:cs="新宋体"/>
          <w:color w:val="auto"/>
          <w:sz w:val="22"/>
          <w:szCs w:val="22"/>
          <w:highlight w:val="none"/>
        </w:rPr>
        <w:t>磋商响应文件</w:t>
      </w:r>
      <w:r>
        <w:rPr>
          <w:rFonts w:hint="eastAsia" w:ascii="新宋体" w:hAnsi="新宋体" w:eastAsia="新宋体" w:cs="新宋体"/>
          <w:bCs/>
          <w:color w:val="auto"/>
          <w:sz w:val="22"/>
          <w:szCs w:val="22"/>
          <w:highlight w:val="none"/>
        </w:rPr>
        <w:t>的递交</w:t>
      </w:r>
    </w:p>
    <w:p>
      <w:pPr>
        <w:spacing w:line="360" w:lineRule="auto"/>
        <w:ind w:leftChars="-21" w:hanging="44" w:hangingChars="20"/>
        <w:rPr>
          <w:rFonts w:hint="eastAsia" w:ascii="新宋体" w:hAnsi="新宋体" w:eastAsia="新宋体" w:cs="新宋体"/>
          <w:bCs/>
          <w:color w:val="auto"/>
          <w:sz w:val="22"/>
          <w:szCs w:val="22"/>
          <w:highlight w:val="none"/>
          <w:u w:val="single"/>
        </w:rPr>
      </w:pPr>
      <w:r>
        <w:rPr>
          <w:rFonts w:hint="eastAsia" w:ascii="新宋体" w:hAnsi="新宋体" w:eastAsia="新宋体" w:cs="新宋体"/>
          <w:bCs/>
          <w:color w:val="auto"/>
          <w:sz w:val="22"/>
          <w:szCs w:val="22"/>
          <w:highlight w:val="none"/>
        </w:rPr>
        <w:t xml:space="preserve">1.1   </w:t>
      </w:r>
      <w:r>
        <w:rPr>
          <w:rFonts w:hint="eastAsia" w:ascii="新宋体" w:hAnsi="新宋体" w:eastAsia="新宋体" w:cs="新宋体"/>
          <w:b/>
          <w:bCs/>
          <w:color w:val="auto"/>
          <w:sz w:val="22"/>
          <w:szCs w:val="22"/>
          <w:highlight w:val="none"/>
          <w:u w:val="single"/>
        </w:rPr>
        <w:t>▲磋商响应文件必须在规定的投标截止时间前送达到指定的收标地点。</w:t>
      </w:r>
    </w:p>
    <w:p>
      <w:pPr>
        <w:spacing w:line="360" w:lineRule="auto"/>
        <w:ind w:left="640" w:leftChars="-21" w:hanging="684" w:hangingChars="311"/>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1.2</w:t>
      </w: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bCs/>
          <w:color w:val="auto"/>
          <w:sz w:val="22"/>
          <w:szCs w:val="22"/>
          <w:highlight w:val="none"/>
          <w:u w:val="single"/>
        </w:rPr>
        <w:t>▲供应商如是法定代表人参加投标的，同时递交投标保证金汇款证明 、法定代表人有效身份证明（原件）、有效营业执照复印件（加盖公章）,由磋商小组确认投标资格。</w:t>
      </w:r>
    </w:p>
    <w:p>
      <w:pPr>
        <w:spacing w:line="360" w:lineRule="auto"/>
        <w:ind w:left="640" w:leftChars="-21" w:hanging="684" w:hangingChars="311"/>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1.3</w:t>
      </w: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bCs/>
          <w:color w:val="auto"/>
          <w:sz w:val="22"/>
          <w:szCs w:val="22"/>
          <w:highlight w:val="none"/>
          <w:u w:val="single"/>
        </w:rPr>
        <w:t>▲供应商如是授权代表参加投标的，同时递交投标保证金汇款证明 、法定代表人授权书（原件）、授权代表有效身份证明（原件），由磋商小组确认投标资格。</w:t>
      </w:r>
    </w:p>
    <w:p>
      <w:pPr>
        <w:spacing w:line="360" w:lineRule="auto"/>
        <w:ind w:left="674" w:leftChars="8" w:hanging="657" w:hangingChars="299"/>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  </w:t>
      </w:r>
      <w:r>
        <w:rPr>
          <w:rFonts w:hint="eastAsia" w:ascii="新宋体" w:hAnsi="新宋体" w:eastAsia="新宋体" w:cs="新宋体"/>
          <w:color w:val="auto"/>
          <w:sz w:val="22"/>
          <w:szCs w:val="22"/>
          <w:highlight w:val="none"/>
        </w:rPr>
        <w:t>磋商响应文件</w:t>
      </w:r>
      <w:r>
        <w:rPr>
          <w:rFonts w:hint="eastAsia" w:ascii="新宋体" w:hAnsi="新宋体" w:eastAsia="新宋体" w:cs="新宋体"/>
          <w:bCs/>
          <w:color w:val="auto"/>
          <w:sz w:val="22"/>
          <w:szCs w:val="22"/>
          <w:highlight w:val="none"/>
        </w:rPr>
        <w:t>的修改和撤回</w:t>
      </w:r>
    </w:p>
    <w:p>
      <w:pPr>
        <w:spacing w:line="360" w:lineRule="auto"/>
        <w:ind w:left="602" w:leftChars="30" w:hanging="539" w:hanging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2.1  </w:t>
      </w:r>
      <w:r>
        <w:rPr>
          <w:rFonts w:hint="eastAsia" w:ascii="新宋体" w:hAnsi="新宋体" w:eastAsia="新宋体" w:cs="新宋体"/>
          <w:color w:val="auto"/>
          <w:sz w:val="22"/>
          <w:szCs w:val="22"/>
          <w:highlight w:val="none"/>
        </w:rPr>
        <w:t>在投标截止时间前，供应商可以用书面形式提出修改或撤回其投标并送达到采购人，但不得影响开标活动的正常进行。</w:t>
      </w:r>
    </w:p>
    <w:p>
      <w:pPr>
        <w:spacing w:line="360" w:lineRule="auto"/>
        <w:ind w:left="599" w:leftChars="30" w:hanging="536" w:hangingChars="244"/>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2.2 “</w:t>
      </w:r>
      <w:r>
        <w:rPr>
          <w:rFonts w:hint="eastAsia" w:ascii="新宋体" w:hAnsi="新宋体" w:eastAsia="新宋体" w:cs="新宋体"/>
          <w:color w:val="auto"/>
          <w:sz w:val="22"/>
          <w:szCs w:val="22"/>
          <w:highlight w:val="none"/>
        </w:rPr>
        <w:t>磋商响应文件</w:t>
      </w:r>
      <w:r>
        <w:rPr>
          <w:rFonts w:hint="eastAsia" w:ascii="新宋体" w:hAnsi="新宋体" w:eastAsia="新宋体" w:cs="新宋体"/>
          <w:bCs/>
          <w:color w:val="auto"/>
          <w:sz w:val="22"/>
          <w:szCs w:val="22"/>
          <w:highlight w:val="none"/>
        </w:rPr>
        <w:t>修改”或“</w:t>
      </w:r>
      <w:r>
        <w:rPr>
          <w:rFonts w:hint="eastAsia" w:ascii="新宋体" w:hAnsi="新宋体" w:eastAsia="新宋体" w:cs="新宋体"/>
          <w:color w:val="auto"/>
          <w:sz w:val="22"/>
          <w:szCs w:val="22"/>
          <w:highlight w:val="none"/>
        </w:rPr>
        <w:t>磋商响应文件</w:t>
      </w:r>
      <w:r>
        <w:rPr>
          <w:rFonts w:hint="eastAsia" w:ascii="新宋体" w:hAnsi="新宋体" w:eastAsia="新宋体" w:cs="新宋体"/>
          <w:bCs/>
          <w:color w:val="auto"/>
          <w:sz w:val="22"/>
          <w:szCs w:val="22"/>
          <w:highlight w:val="none"/>
        </w:rPr>
        <w:t>撤回通知”都应密封并在密封袋上写明投标项目名称、编号、投标单位名称，并注明“</w:t>
      </w:r>
      <w:r>
        <w:rPr>
          <w:rFonts w:hint="eastAsia" w:ascii="新宋体" w:hAnsi="新宋体" w:eastAsia="新宋体" w:cs="新宋体"/>
          <w:color w:val="auto"/>
          <w:sz w:val="22"/>
          <w:szCs w:val="22"/>
          <w:highlight w:val="none"/>
        </w:rPr>
        <w:t>磋商响应文件</w:t>
      </w:r>
      <w:r>
        <w:rPr>
          <w:rFonts w:hint="eastAsia" w:ascii="新宋体" w:hAnsi="新宋体" w:eastAsia="新宋体" w:cs="新宋体"/>
          <w:bCs/>
          <w:color w:val="auto"/>
          <w:sz w:val="22"/>
          <w:szCs w:val="22"/>
          <w:highlight w:val="none"/>
        </w:rPr>
        <w:t>修改”或“</w:t>
      </w:r>
      <w:r>
        <w:rPr>
          <w:rFonts w:hint="eastAsia" w:ascii="新宋体" w:hAnsi="新宋体" w:eastAsia="新宋体" w:cs="新宋体"/>
          <w:color w:val="auto"/>
          <w:sz w:val="22"/>
          <w:szCs w:val="22"/>
          <w:highlight w:val="none"/>
        </w:rPr>
        <w:t>磋商响应文件</w:t>
      </w:r>
      <w:r>
        <w:rPr>
          <w:rFonts w:hint="eastAsia" w:ascii="新宋体" w:hAnsi="新宋体" w:eastAsia="新宋体" w:cs="新宋体"/>
          <w:bCs/>
          <w:color w:val="auto"/>
          <w:sz w:val="22"/>
          <w:szCs w:val="22"/>
          <w:highlight w:val="none"/>
        </w:rPr>
        <w:t>撤回通知”字样。</w:t>
      </w:r>
    </w:p>
    <w:p>
      <w:pPr>
        <w:spacing w:line="360" w:lineRule="auto"/>
        <w:ind w:left="560" w:leftChars="10" w:hanging="539" w:hangingChars="245"/>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 xml:space="preserve">2.3 </w:t>
      </w: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color w:val="auto"/>
          <w:sz w:val="22"/>
          <w:szCs w:val="22"/>
          <w:highlight w:val="none"/>
        </w:rPr>
        <w:t>从投标截止日期起至磋商响应文件有效期满这段时间内，供应商不得撤回其投标，否则投标保证金将被不予退还。</w:t>
      </w:r>
    </w:p>
    <w:p>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发生下列情况之一的磋商响应文件将拒收:</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  在投标截止时间以后</w:t>
      </w:r>
      <w:r>
        <w:rPr>
          <w:rFonts w:hint="eastAsia" w:ascii="新宋体" w:hAnsi="新宋体" w:eastAsia="新宋体" w:cs="新宋体"/>
          <w:bCs/>
          <w:color w:val="auto"/>
          <w:sz w:val="22"/>
          <w:szCs w:val="22"/>
          <w:highlight w:val="none"/>
        </w:rPr>
        <w:t>送达的磋商响应文件；</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  未递交投标保证金；</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  未密封或未装订的磋商响应文件及由于包装不妥在送达途中严重破损或失散的磋商响应文件；</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3.4  以电讯形式递交的磋商响应文件；</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3.5  未购买竞争性磋商采购文件。</w:t>
      </w:r>
    </w:p>
    <w:p>
      <w:pPr>
        <w:spacing w:before="100" w:beforeAutospacing="1" w:after="100" w:afterAutospacing="1" w:line="440" w:lineRule="exact"/>
        <w:jc w:val="center"/>
        <w:outlineLvl w:val="1"/>
        <w:rPr>
          <w:rFonts w:hint="eastAsia" w:ascii="新宋体" w:hAnsi="新宋体" w:eastAsia="新宋体" w:cs="新宋体"/>
          <w:b/>
          <w:bCs/>
          <w:color w:val="auto"/>
          <w:sz w:val="22"/>
          <w:szCs w:val="22"/>
          <w:highlight w:val="none"/>
        </w:rPr>
      </w:pPr>
      <w:bookmarkStart w:id="22" w:name="_Toc508785486"/>
      <w:r>
        <w:rPr>
          <w:rFonts w:hint="eastAsia" w:ascii="新宋体" w:hAnsi="新宋体" w:eastAsia="新宋体" w:cs="新宋体"/>
          <w:b/>
          <w:bCs/>
          <w:color w:val="auto"/>
          <w:sz w:val="22"/>
          <w:szCs w:val="22"/>
          <w:highlight w:val="none"/>
        </w:rPr>
        <w:t>五   磋商和原则</w:t>
      </w:r>
      <w:bookmarkEnd w:id="22"/>
    </w:p>
    <w:p>
      <w:pPr>
        <w:spacing w:line="460" w:lineRule="exact"/>
        <w:ind w:left="645" w:leftChars="17" w:hanging="609"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Cs w:val="21"/>
          <w:highlight w:val="none"/>
        </w:rPr>
        <w:t>1．</w:t>
      </w:r>
      <w:r>
        <w:rPr>
          <w:rFonts w:hint="eastAsia" w:ascii="新宋体" w:hAnsi="新宋体" w:eastAsia="新宋体" w:cs="新宋体"/>
          <w:color w:val="auto"/>
          <w:sz w:val="22"/>
          <w:szCs w:val="22"/>
          <w:highlight w:val="none"/>
        </w:rPr>
        <w:t xml:space="preserve">  磋商小组</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  代理机构依法组建磋商小组，磋商小组的成员在磋商过程中必须严格遵守相关法律、法规的规定。不得泄露评审情况和评审中获悉的商业秘密。</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  磋商小组由3人（含）以上的单数组成，磋商小组负责对磋商响应文件进行审查、质疑、评估、比较及确定成交候选供应商。</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  磋商期间，磋商供应商代表必须到场，负责解答有关事宜。</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磋商和评审</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  磋商双方按照磋商文件规定的时间、地点进行竞争性磋商。</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  首先由磋由监督人员或供应商推选的代表检查磋商响应文件密封情况，确认无误后,按</w:t>
      </w:r>
      <w:r>
        <w:rPr>
          <w:rFonts w:hint="eastAsia" w:ascii="新宋体" w:hAnsi="新宋体" w:eastAsia="新宋体" w:cs="新宋体"/>
          <w:color w:val="auto"/>
          <w:kern w:val="0"/>
          <w:sz w:val="22"/>
          <w:szCs w:val="22"/>
          <w:highlight w:val="none"/>
        </w:rPr>
        <w:t>供应商送达磋商响应文件的先后顺序；在开标室里先开启磋商响应文件，再送达评审室评审。</w:t>
      </w:r>
      <w:r>
        <w:rPr>
          <w:rFonts w:hint="eastAsia" w:ascii="新宋体" w:hAnsi="新宋体" w:eastAsia="新宋体" w:cs="新宋体"/>
          <w:color w:val="auto"/>
          <w:sz w:val="22"/>
          <w:szCs w:val="22"/>
          <w:highlight w:val="none"/>
        </w:rPr>
        <w:t>然后由磋商小组对各磋商供应商的磋商资格进行审查。▲</w:t>
      </w:r>
      <w:r>
        <w:rPr>
          <w:rFonts w:hint="eastAsia" w:ascii="新宋体" w:hAnsi="新宋体" w:eastAsia="新宋体" w:cs="新宋体"/>
          <w:color w:val="auto"/>
          <w:sz w:val="22"/>
          <w:szCs w:val="22"/>
          <w:highlight w:val="none"/>
          <w:u w:val="single"/>
        </w:rPr>
        <w:t>经审查确认通过的磋商响应文件由磋商小组进行评审，审查确认未通过的磋商响应文件将被拒绝。</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  磋商小组根据磋商文件的规定，对磋商响应文件的有效性、完整性和对磋商文件的响应程度进行审查，以确定其是否对磋商文件作出了实质性响应。实质上没有响应磋商文件要求的报价将被拒绝。</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  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更正应当由法定代表人或其授权代表签字或者加盖公章。由授权代表签字的，应当附法定代表人授权书。供应商为自然人的，应当由本人签字并附身份证明。</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2.5  </w:t>
      </w:r>
      <w:r>
        <w:rPr>
          <w:rFonts w:hint="eastAsia" w:ascii="新宋体" w:hAnsi="新宋体" w:eastAsia="新宋体" w:cs="新宋体"/>
          <w:color w:val="auto"/>
          <w:sz w:val="22"/>
          <w:szCs w:val="22"/>
          <w:highlight w:val="none"/>
          <w:u w:val="single"/>
        </w:rPr>
        <w:t>▲经澄清后，若偏差仍存在，且不可接受，磋商供应商则被认为是“没有实质性响应竞争性磋商采购文件要求”，其磋商不进入下一步评审</w:t>
      </w:r>
      <w:r>
        <w:rPr>
          <w:rFonts w:hint="eastAsia" w:ascii="新宋体" w:hAnsi="新宋体" w:eastAsia="新宋体" w:cs="新宋体"/>
          <w:color w:val="auto"/>
          <w:sz w:val="22"/>
          <w:szCs w:val="22"/>
          <w:highlight w:val="none"/>
        </w:rPr>
        <w:t>。</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  磋商小组所有成员将遵循“公开、公平、公正”的原则，采用相同的程序和标准，所有成员按顺序与单一供应商分别进行单独封闭式磋商。磋商内容包括货物价格、质量水平和保障措施、交货时间、售后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并由磋商供应商代表签字。磋商轮次最多不超过3轮。</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2.7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2.8  在磋商过程中，磋商供应商不得向磋商小组成员询问磋商情况，不得进行旨在影响磋商结果的活动，否则将取消其磋商资格，不予退还磋商保证金。</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2.9  在磋商过程中，磋商小组成员不得与磋商供应商私下交换意见，在竞争性磋商结束后，凡与磋商情况有接触的人不得将磋商情况扩散出磋商小组成员外。</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2.10 </w:t>
      </w:r>
      <w:r>
        <w:rPr>
          <w:rFonts w:hint="eastAsia" w:ascii="新宋体" w:hAnsi="新宋体" w:eastAsia="新宋体" w:cs="新宋体"/>
          <w:b/>
          <w:bCs/>
          <w:color w:val="auto"/>
          <w:sz w:val="22"/>
          <w:szCs w:val="22"/>
          <w:highlight w:val="none"/>
        </w:rPr>
        <w:t>磋商结束后，磋商小组将要求磋商供应商在规定的时间内，以密封书面形式统一进行最后报价，最后报价不得高于一次报价（磋商小组另有决议的除外）。</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宣布最终报价</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  宣布最终报价时邀请所有磋商供应商代表参加，参加的代表应准时出席并签名报到以证明其出席。磋商供应商代表未参加磋商会的，事后不得对磋商结果提出异议。磋商供应商代表应对最终报价的内容及记录结果当场进行校核和签字确认，如有异议应当场提出，否则视为默许同意。</w:t>
      </w:r>
    </w:p>
    <w:p>
      <w:pPr>
        <w:numPr>
          <w:ilvl w:val="0"/>
          <w:numId w:val="9"/>
        </w:numPr>
        <w:spacing w:line="460" w:lineRule="exact"/>
        <w:ind w:left="676" w:leftChars="17" w:hanging="640" w:hangingChars="29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 在磋商响应文件的评审过程中，有下列情况之一的，经磋商小组认定后按无效标处理：</w:t>
      </w:r>
    </w:p>
    <w:p>
      <w:pPr>
        <w:numPr>
          <w:ilvl w:val="0"/>
          <w:numId w:val="10"/>
        </w:num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磋商响应文件未加盖单位公章、无法定代表人或其授权代表签字或盖章的；</w:t>
      </w:r>
    </w:p>
    <w:p>
      <w:pPr>
        <w:numPr>
          <w:ilvl w:val="0"/>
          <w:numId w:val="10"/>
        </w:num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授权代表没有法定代表人合法、有效委托的；</w:t>
      </w:r>
    </w:p>
    <w:p>
      <w:pPr>
        <w:numPr>
          <w:ilvl w:val="0"/>
          <w:numId w:val="10"/>
        </w:num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未按竞争性磋商采购文件要求提供资格审查资料原件及复印件的；</w:t>
      </w:r>
    </w:p>
    <w:p>
      <w:pPr>
        <w:numPr>
          <w:ilvl w:val="0"/>
          <w:numId w:val="10"/>
        </w:num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磋商响应文件内容不全或关键字迹模糊无法辨认的</w:t>
      </w:r>
    </w:p>
    <w:p>
      <w:pPr>
        <w:numPr>
          <w:ilvl w:val="0"/>
          <w:numId w:val="10"/>
        </w:num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供应商递交两份或多份内容不同的磋商响应文件,或在一份磋商响应文件中对同一项目报价有两个或多个报价,且未声明哪一个有效（大小写、正副本不一致的除外）。</w:t>
      </w:r>
    </w:p>
    <w:p>
      <w:pPr>
        <w:numPr>
          <w:ilvl w:val="0"/>
          <w:numId w:val="10"/>
        </w:num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磋商响应文件附有采购人不能接受的条件；</w:t>
      </w:r>
    </w:p>
    <w:p>
      <w:pPr>
        <w:numPr>
          <w:ilvl w:val="0"/>
          <w:numId w:val="10"/>
        </w:num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供应商联合体投标的；</w:t>
      </w:r>
    </w:p>
    <w:p>
      <w:pPr>
        <w:numPr>
          <w:ilvl w:val="0"/>
          <w:numId w:val="10"/>
        </w:num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磋商响应文件未标明正副本或磋商响应文件正副本数量不符合竞争性磋商采购文件要求；</w:t>
      </w:r>
    </w:p>
    <w:p>
      <w:pPr>
        <w:numPr>
          <w:ilvl w:val="0"/>
          <w:numId w:val="10"/>
        </w:num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供应商最终报价超过项目预算金额的；</w:t>
      </w:r>
    </w:p>
    <w:p>
      <w:pPr>
        <w:numPr>
          <w:ilvl w:val="0"/>
          <w:numId w:val="10"/>
        </w:num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磋商小组认定不符合法律、法规和竞争性磋商采购文件中规定的其他实质性要求的。</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  确定成交候选供应商</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5.1  本次采购由采购人确定成交候选供应商。</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  磋商小组应当根据综合评分情况，按照评审得分由高到低顺序,得分前二名的供应商确定为第一和第二成交候选供应商（综合得分相同商务标得分高的排序第一；综合得分相同且商务标得分也相同的，由磋商小组抽签决定排序）。</w:t>
      </w:r>
    </w:p>
    <w:p>
      <w:pPr>
        <w:spacing w:line="45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5.3  成交供应商有以下情况的，则采购人有权决定是否将其成交资格转交总分排名第二的候选供应商：</w:t>
      </w:r>
    </w:p>
    <w:p>
      <w:pPr>
        <w:tabs>
          <w:tab w:val="left" w:pos="540"/>
        </w:tabs>
        <w:autoSpaceDE w:val="0"/>
        <w:autoSpaceDN w:val="0"/>
        <w:adjustRightInd w:val="0"/>
        <w:spacing w:line="440" w:lineRule="atLeast"/>
        <w:ind w:left="567"/>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1）成交供应商主动放弃成交资格；</w:t>
      </w:r>
    </w:p>
    <w:p>
      <w:pPr>
        <w:tabs>
          <w:tab w:val="left" w:pos="540"/>
        </w:tabs>
        <w:autoSpaceDE w:val="0"/>
        <w:autoSpaceDN w:val="0"/>
        <w:adjustRightInd w:val="0"/>
        <w:spacing w:line="440" w:lineRule="atLeast"/>
        <w:ind w:left="567"/>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2）成交供应商因不可抗力提出不能履行合同；</w:t>
      </w:r>
    </w:p>
    <w:p>
      <w:pPr>
        <w:tabs>
          <w:tab w:val="left" w:pos="540"/>
        </w:tabs>
        <w:autoSpaceDE w:val="0"/>
        <w:autoSpaceDN w:val="0"/>
        <w:adjustRightInd w:val="0"/>
        <w:spacing w:line="440" w:lineRule="atLeast"/>
        <w:ind w:left="567"/>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3）成交供应商未能在规定的期限内提交履约保证金；</w:t>
      </w:r>
    </w:p>
    <w:p>
      <w:pPr>
        <w:tabs>
          <w:tab w:val="left" w:pos="540"/>
        </w:tabs>
        <w:autoSpaceDE w:val="0"/>
        <w:autoSpaceDN w:val="0"/>
        <w:adjustRightInd w:val="0"/>
        <w:spacing w:line="440" w:lineRule="atLeast"/>
        <w:ind w:left="567"/>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4）成交供应商未能在规定时间内与采购人签订合同；</w:t>
      </w:r>
    </w:p>
    <w:p>
      <w:pPr>
        <w:tabs>
          <w:tab w:val="left" w:pos="540"/>
        </w:tabs>
        <w:autoSpaceDE w:val="0"/>
        <w:autoSpaceDN w:val="0"/>
        <w:adjustRightInd w:val="0"/>
        <w:spacing w:line="440" w:lineRule="atLeast"/>
        <w:ind w:left="567"/>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5）经质疑，采购人审查后，成交供应商确实在本次采购活动中存在违法违规行为或其他原因使质疑成立的。</w:t>
      </w:r>
    </w:p>
    <w:p>
      <w:pPr>
        <w:spacing w:line="460" w:lineRule="exact"/>
        <w:ind w:left="674" w:leftChars="17" w:hanging="638" w:hangingChars="29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 xml:space="preserve">6．  </w:t>
      </w:r>
      <w:r>
        <w:rPr>
          <w:rFonts w:hint="eastAsia" w:ascii="新宋体" w:hAnsi="新宋体" w:eastAsia="新宋体" w:cs="新宋体"/>
          <w:bCs/>
          <w:color w:val="auto"/>
          <w:sz w:val="22"/>
          <w:szCs w:val="22"/>
          <w:highlight w:val="none"/>
          <w:u w:val="single"/>
        </w:rPr>
        <w:t>▲投标截止时间止及评审期间，出现有效供应商不足2家的，则本项目按流（废）标处理，重新组织采购。</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  磋商小组不向未成交供应商解释未成交原因，不退还磋商响应文件。</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具体磋商和评审方法以本采购文件第五部分“磋商原则及方法”为准。</w:t>
      </w:r>
    </w:p>
    <w:p>
      <w:pPr>
        <w:spacing w:line="460" w:lineRule="exact"/>
        <w:ind w:left="674" w:leftChars="17" w:hanging="638" w:hangingChars="2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  未详尽事宜，遵照有关法律法规执行。</w:t>
      </w:r>
    </w:p>
    <w:p>
      <w:pPr>
        <w:rPr>
          <w:rFonts w:hint="eastAsia" w:ascii="新宋体" w:hAnsi="新宋体" w:eastAsia="新宋体" w:cs="新宋体"/>
          <w:color w:val="auto"/>
          <w:sz w:val="22"/>
          <w:szCs w:val="22"/>
          <w:highlight w:val="none"/>
        </w:rPr>
      </w:pPr>
      <w:bookmarkStart w:id="23" w:name="_Toc393699549"/>
    </w:p>
    <w:p>
      <w:pPr>
        <w:spacing w:before="100" w:beforeAutospacing="1" w:after="100" w:afterAutospacing="1" w:line="440" w:lineRule="exact"/>
        <w:jc w:val="center"/>
        <w:outlineLvl w:val="1"/>
        <w:rPr>
          <w:rFonts w:hint="eastAsia" w:ascii="新宋体" w:hAnsi="新宋体" w:eastAsia="新宋体" w:cs="新宋体"/>
          <w:b/>
          <w:bCs/>
          <w:color w:val="auto"/>
          <w:sz w:val="22"/>
          <w:szCs w:val="22"/>
          <w:highlight w:val="none"/>
        </w:rPr>
      </w:pPr>
      <w:bookmarkStart w:id="24" w:name="_Toc221356953"/>
      <w:bookmarkStart w:id="25" w:name="_Toc246261267"/>
      <w:bookmarkStart w:id="26" w:name="_Toc262105505"/>
      <w:bookmarkStart w:id="27" w:name="_Toc245722283"/>
      <w:bookmarkStart w:id="28" w:name="_Toc223716000"/>
      <w:bookmarkStart w:id="29" w:name="_Toc221356889"/>
      <w:bookmarkStart w:id="30" w:name="_Toc508785487"/>
      <w:bookmarkStart w:id="31" w:name="_Toc222114881"/>
      <w:bookmarkStart w:id="32" w:name="_Toc221423621"/>
      <w:bookmarkStart w:id="33" w:name="_Toc249758714"/>
      <w:bookmarkStart w:id="34" w:name="_Toc249758866"/>
      <w:bookmarkStart w:id="35" w:name="_Toc241404204"/>
      <w:bookmarkStart w:id="36" w:name="_Toc239145356"/>
      <w:bookmarkStart w:id="37" w:name="_Toc262049420"/>
      <w:bookmarkStart w:id="38" w:name="_Toc221374628"/>
      <w:bookmarkStart w:id="39" w:name="_Toc245191316"/>
      <w:bookmarkStart w:id="40" w:name="_Toc422225256"/>
      <w:r>
        <w:rPr>
          <w:rFonts w:hint="eastAsia" w:ascii="新宋体" w:hAnsi="新宋体" w:eastAsia="新宋体" w:cs="新宋体"/>
          <w:b/>
          <w:bCs/>
          <w:color w:val="auto"/>
          <w:sz w:val="22"/>
          <w:szCs w:val="22"/>
          <w:highlight w:val="none"/>
        </w:rPr>
        <w:t>六、 授予合同</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numPr>
          <w:ilvl w:val="0"/>
          <w:numId w:val="11"/>
        </w:num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最终审查</w:t>
      </w:r>
    </w:p>
    <w:p>
      <w:pPr>
        <w:numPr>
          <w:ilvl w:val="1"/>
          <w:numId w:val="12"/>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评审结束后，采购人将对磋商小组确定的成交候选供应商进行最终审查。</w:t>
      </w:r>
    </w:p>
    <w:p>
      <w:pPr>
        <w:numPr>
          <w:ilvl w:val="1"/>
          <w:numId w:val="12"/>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果审查通过，采购人将把采购合同授予该成交供应商，如果审查没有通过，采购人将拒绝其投标，并对排名第二的成交候选供应商进行类似审查。若排名第二的成交候选供应商审查仍未通过，此次采购失败，应重新组织采购。</w:t>
      </w:r>
    </w:p>
    <w:p>
      <w:pPr>
        <w:numPr>
          <w:ilvl w:val="1"/>
          <w:numId w:val="12"/>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小组确定的成交候选供应商经采购人审查合格后在采购指定信息发布媒体上公示，各供应商对评审结果如有异议，可在规定时间内以书面形式向采购人进行署名投诉或提出质疑，但需对投诉或质疑内容的真实性承担法律责任。</w:t>
      </w:r>
    </w:p>
    <w:p>
      <w:pPr>
        <w:numPr>
          <w:ilvl w:val="1"/>
          <w:numId w:val="12"/>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公示期结束后，采购人将根据磋商小组提交的书面评审报告和评审结果最后确定成交供应商。</w:t>
      </w:r>
    </w:p>
    <w:p>
      <w:pPr>
        <w:numPr>
          <w:ilvl w:val="0"/>
          <w:numId w:val="11"/>
        </w:num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中标（成交）通知书</w:t>
      </w:r>
    </w:p>
    <w:p>
      <w:pPr>
        <w:numPr>
          <w:ilvl w:val="1"/>
          <w:numId w:val="13"/>
        </w:numPr>
        <w:tabs>
          <w:tab w:val="left" w:pos="540"/>
          <w:tab w:val="clear" w:pos="992"/>
        </w:tabs>
        <w:spacing w:line="460" w:lineRule="exact"/>
        <w:ind w:hanging="992"/>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成交供应商确定后，采购人将向成交供应商发出中标（成交）通知书。 </w:t>
      </w:r>
    </w:p>
    <w:p>
      <w:pPr>
        <w:numPr>
          <w:ilvl w:val="1"/>
          <w:numId w:val="13"/>
        </w:numPr>
        <w:tabs>
          <w:tab w:val="left" w:pos="540"/>
          <w:tab w:val="clear" w:pos="992"/>
        </w:tabs>
        <w:spacing w:line="460" w:lineRule="exact"/>
        <w:ind w:hanging="992"/>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中标（成交）通知书是合同的一个组成部分,对采购人和成交供应商均具有同等法律效力。</w:t>
      </w:r>
    </w:p>
    <w:p>
      <w:pPr>
        <w:numPr>
          <w:ilvl w:val="0"/>
          <w:numId w:val="11"/>
        </w:num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签订合同</w:t>
      </w:r>
    </w:p>
    <w:p>
      <w:pPr>
        <w:numPr>
          <w:ilvl w:val="1"/>
          <w:numId w:val="14"/>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成交供应商应按中标（成交）通知书规定的时间、地点与采购人签订合同，同时提交履约保证金。</w:t>
      </w:r>
    </w:p>
    <w:p>
      <w:pPr>
        <w:numPr>
          <w:ilvl w:val="1"/>
          <w:numId w:val="14"/>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签订合同前，采购人有权在投标费率不变的前提下要求成交供应商对商务报价中的不平衡报价和缺漏项进行调整，如果成交供应商无合理理由拒绝调整，其中标资格将被取消，保证金将被不予退还，且将导致其它进一步的赔偿和处罚。成交供应商因不可抗力或自身原因不能履行采购合同的，采购人可以与排位在成交供应商之后的第一位的成交候选供应商签订采购合同。</w:t>
      </w:r>
    </w:p>
    <w:p>
      <w:pPr>
        <w:numPr>
          <w:ilvl w:val="1"/>
          <w:numId w:val="14"/>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竞争性磋商采购文件、成交供应商的磋商响应文件、投标修改文件、评审过程中有关澄清文件及经供应商和评委双方签字的询标纪要和中标（成交）通知书均作为合同附件。</w:t>
      </w:r>
    </w:p>
    <w:p>
      <w:pPr>
        <w:numPr>
          <w:ilvl w:val="1"/>
          <w:numId w:val="14"/>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拒签合同的违约责任</w:t>
      </w:r>
    </w:p>
    <w:p>
      <w:pPr>
        <w:spacing w:line="440" w:lineRule="exact"/>
        <w:ind w:left="538" w:leftChars="256"/>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成交供应商接到中标（成交）通知书后，在规定时间内借故否认已经承诺的条件而拒签合同的，以违约处理，其投标保证金将被不予退还。</w:t>
      </w:r>
    </w:p>
    <w:p>
      <w:pPr>
        <w:numPr>
          <w:ilvl w:val="1"/>
          <w:numId w:val="14"/>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成交供应商应在合同签订后五个工作日内提交一份合同文本原件报采购代理机构备案。</w:t>
      </w:r>
    </w:p>
    <w:p>
      <w:pPr>
        <w:numPr>
          <w:ilvl w:val="0"/>
          <w:numId w:val="11"/>
        </w:num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履约保证金</w:t>
      </w:r>
    </w:p>
    <w:p>
      <w:pPr>
        <w:numPr>
          <w:ilvl w:val="1"/>
          <w:numId w:val="15"/>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成交供应商在收到中标（成交）通知书后，签订合同前须向甲方提交履约保证金（如有）。</w:t>
      </w:r>
    </w:p>
    <w:p>
      <w:pPr>
        <w:numPr>
          <w:ilvl w:val="1"/>
          <w:numId w:val="15"/>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履约保证金用于补偿甲方因乙方不能完成其合同义务而蒙受的损失。</w:t>
      </w:r>
    </w:p>
    <w:p>
      <w:pPr>
        <w:numPr>
          <w:ilvl w:val="1"/>
          <w:numId w:val="15"/>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履约保证金自合同签订之日起至项目完成并通过最终验收之日止有效。有效期满后，甲方应及时将履约保证金无息退还给乙方。</w:t>
      </w:r>
    </w:p>
    <w:p>
      <w:pPr>
        <w:numPr>
          <w:ilvl w:val="0"/>
          <w:numId w:val="11"/>
        </w:num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招标代理服务费</w:t>
      </w:r>
    </w:p>
    <w:p>
      <w:pPr>
        <w:numPr>
          <w:ilvl w:val="1"/>
          <w:numId w:val="16"/>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本次采购代理服务费均按固定金额叁仟元收取,由中标人在领取中标通知书之前支付给招标代理机构。招标代理服务费可以是现金、支票或汇票。</w:t>
      </w:r>
    </w:p>
    <w:p>
      <w:pPr>
        <w:numPr>
          <w:ilvl w:val="0"/>
          <w:numId w:val="11"/>
        </w:num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w:t>
      </w:r>
    </w:p>
    <w:p>
      <w:pPr>
        <w:numPr>
          <w:ilvl w:val="1"/>
          <w:numId w:val="17"/>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有下列情形之一的，认定为串通投标行为：</w:t>
      </w:r>
    </w:p>
    <w:p>
      <w:pPr>
        <w:numPr>
          <w:ilvl w:val="2"/>
          <w:numId w:val="18"/>
        </w:numPr>
        <w:tabs>
          <w:tab w:val="left" w:pos="993"/>
          <w:tab w:val="clear" w:pos="1571"/>
        </w:tabs>
        <w:spacing w:line="460" w:lineRule="exact"/>
        <w:ind w:left="993" w:hanging="426"/>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不同供应商的磋商响应文件由同一单位（或个人）编制或提供投标咨询服务；</w:t>
      </w:r>
    </w:p>
    <w:p>
      <w:pPr>
        <w:numPr>
          <w:ilvl w:val="2"/>
          <w:numId w:val="18"/>
        </w:numPr>
        <w:tabs>
          <w:tab w:val="left" w:pos="993"/>
          <w:tab w:val="clear" w:pos="1571"/>
        </w:tabs>
        <w:spacing w:line="460" w:lineRule="exact"/>
        <w:ind w:left="993" w:hanging="426"/>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不同供应商使用同一人或者同一单位的资金交纳投标保证金；</w:t>
      </w:r>
    </w:p>
    <w:p>
      <w:pPr>
        <w:numPr>
          <w:ilvl w:val="2"/>
          <w:numId w:val="18"/>
        </w:numPr>
        <w:tabs>
          <w:tab w:val="left" w:pos="993"/>
          <w:tab w:val="clear" w:pos="1571"/>
        </w:tabs>
        <w:spacing w:line="460" w:lineRule="exact"/>
        <w:ind w:left="993" w:hanging="426"/>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不同供应商委托同一人办理投标事宜的或不同供应商与同一供应商联合投标的；</w:t>
      </w:r>
    </w:p>
    <w:p>
      <w:pPr>
        <w:numPr>
          <w:ilvl w:val="2"/>
          <w:numId w:val="18"/>
        </w:numPr>
        <w:tabs>
          <w:tab w:val="left" w:pos="993"/>
          <w:tab w:val="clear" w:pos="1571"/>
        </w:tabs>
        <w:spacing w:line="460" w:lineRule="exact"/>
        <w:ind w:left="993" w:hanging="426"/>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不同供应商的磋商响应文件内容出现非正常一致，或者报价细目呈明显规律性变化；</w:t>
      </w:r>
    </w:p>
    <w:p>
      <w:pPr>
        <w:numPr>
          <w:ilvl w:val="2"/>
          <w:numId w:val="18"/>
        </w:numPr>
        <w:tabs>
          <w:tab w:val="left" w:pos="993"/>
          <w:tab w:val="clear" w:pos="1571"/>
        </w:tabs>
        <w:spacing w:line="460" w:lineRule="exact"/>
        <w:ind w:left="993" w:hanging="426"/>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不同供应商的磋商响应文件载明的项目管理人员出现同一人的情况；</w:t>
      </w:r>
    </w:p>
    <w:p>
      <w:pPr>
        <w:numPr>
          <w:ilvl w:val="2"/>
          <w:numId w:val="18"/>
        </w:numPr>
        <w:tabs>
          <w:tab w:val="left" w:pos="993"/>
          <w:tab w:val="clear" w:pos="1571"/>
        </w:tabs>
        <w:spacing w:line="460" w:lineRule="exact"/>
        <w:ind w:left="993" w:hanging="426"/>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不同供应商的磋商响应文件相互混装；</w:t>
      </w:r>
    </w:p>
    <w:p>
      <w:pPr>
        <w:numPr>
          <w:ilvl w:val="2"/>
          <w:numId w:val="18"/>
        </w:numPr>
        <w:tabs>
          <w:tab w:val="left" w:pos="993"/>
          <w:tab w:val="clear" w:pos="1571"/>
        </w:tabs>
        <w:spacing w:line="460" w:lineRule="exact"/>
        <w:ind w:left="993" w:hanging="426"/>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法律、法规或规章规定的其他串通投标行为。</w:t>
      </w:r>
    </w:p>
    <w:p>
      <w:pPr>
        <w:tabs>
          <w:tab w:val="left" w:pos="993"/>
        </w:tabs>
        <w:spacing w:line="460" w:lineRule="exact"/>
        <w:rPr>
          <w:rFonts w:hint="eastAsia" w:ascii="新宋体" w:hAnsi="新宋体" w:eastAsia="新宋体" w:cs="新宋体"/>
          <w:color w:val="auto"/>
          <w:sz w:val="22"/>
          <w:szCs w:val="22"/>
          <w:highlight w:val="none"/>
        </w:rPr>
      </w:pPr>
    </w:p>
    <w:p>
      <w:pPr>
        <w:tabs>
          <w:tab w:val="left" w:pos="993"/>
        </w:tabs>
        <w:spacing w:line="460" w:lineRule="exact"/>
        <w:rPr>
          <w:rFonts w:hint="eastAsia" w:ascii="新宋体" w:hAnsi="新宋体" w:eastAsia="新宋体" w:cs="新宋体"/>
          <w:color w:val="auto"/>
          <w:sz w:val="22"/>
          <w:szCs w:val="22"/>
          <w:highlight w:val="none"/>
        </w:rPr>
      </w:pPr>
    </w:p>
    <w:p>
      <w:pPr>
        <w:snapToGrid w:val="0"/>
        <w:spacing w:line="460" w:lineRule="atLeast"/>
        <w:jc w:val="center"/>
        <w:rPr>
          <w:rFonts w:hint="eastAsia" w:ascii="新宋体" w:hAnsi="新宋体" w:eastAsia="新宋体" w:cs="新宋体"/>
          <w:b/>
          <w:color w:val="auto"/>
          <w:sz w:val="36"/>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color w:val="auto"/>
          <w:sz w:val="36"/>
          <w:highlight w:val="none"/>
        </w:rPr>
        <w:t>七、政府采购政策功能相关说明</w:t>
      </w:r>
    </w:p>
    <w:p>
      <w:pPr>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一、小、微企业（含监狱企业、残疾人福利性单位）扶持政策说明</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1、文件依据</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（1）关于印发《政府采购促进中小企业发展暂行办法》的通知（财库[2011]181号）</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（2）浙江省财政厅转发财政部 工业和信息化部关于印发《政府采购促进中小企业发展暂行办法》的通知（浙财采监[2012]11号）</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（3）浙江省省财政厅《关于开展政府采购投标人网上注册登记和诚信管理工作的通知》（浙财采监〔2010〕8号)</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（4）《工业和信息化部、国家统计局、国家发展和改革委员会、财政部关于印发中小企业划型标准规定的通知》（工信部联企业[2011]300号）</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（5）财政部、司法部《关于政府采购支持监狱企业发展有关问题的通知》（财库〔2014〕68号）</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（6）《财政部 民政部 中国残疾人联合会关于促进残疾人就业政府采购政策的通知》（财库〔2017〕 141号）</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2、享受小微企业价格折扣应具备的条件与价格折扣比例</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（1）符合中小企业划分标准；</w:t>
      </w:r>
      <w:r>
        <w:rPr>
          <w:rFonts w:hint="eastAsia" w:ascii="新宋体" w:hAnsi="新宋体" w:eastAsia="新宋体" w:cs="新宋体"/>
          <w:bCs/>
          <w:color w:val="auto"/>
          <w:sz w:val="22"/>
          <w:highlight w:val="none"/>
        </w:rPr>
        <w:br w:type="textWrapping"/>
      </w:r>
      <w:r>
        <w:rPr>
          <w:rFonts w:hint="eastAsia" w:ascii="新宋体" w:hAnsi="新宋体" w:eastAsia="新宋体" w:cs="新宋体"/>
          <w:bCs/>
          <w:color w:val="auto"/>
          <w:sz w:val="22"/>
          <w:highlight w:val="none"/>
        </w:rPr>
        <w:t>（2）提供本企业制造的货物、承担的工程或者服务，或者提供其他中小企业制造的货物。本项所称货物不包括使用大型企业注册商标的货物。</w:t>
      </w:r>
      <w:r>
        <w:rPr>
          <w:rFonts w:hint="eastAsia" w:ascii="新宋体" w:hAnsi="新宋体" w:eastAsia="新宋体" w:cs="新宋体"/>
          <w:bCs/>
          <w:color w:val="auto"/>
          <w:sz w:val="22"/>
          <w:highlight w:val="none"/>
        </w:rPr>
        <w:br w:type="textWrapping"/>
      </w:r>
      <w:r>
        <w:rPr>
          <w:rFonts w:hint="eastAsia" w:ascii="新宋体" w:hAnsi="新宋体" w:eastAsia="新宋体" w:cs="新宋体"/>
          <w:bCs/>
          <w:color w:val="auto"/>
          <w:sz w:val="22"/>
          <w:highlight w:val="none"/>
        </w:rPr>
        <w:t>  中小企业划分标准，是指国务院有关部门根据企业从业人员、营业收入、资产总额等指标制定的中小企业划型标准。</w:t>
      </w:r>
      <w:r>
        <w:rPr>
          <w:rFonts w:hint="eastAsia" w:ascii="新宋体" w:hAnsi="新宋体" w:eastAsia="新宋体" w:cs="新宋体"/>
          <w:bCs/>
          <w:color w:val="auto"/>
          <w:sz w:val="22"/>
          <w:highlight w:val="none"/>
        </w:rPr>
        <w:br w:type="textWrapping"/>
      </w:r>
      <w:r>
        <w:rPr>
          <w:rFonts w:hint="eastAsia" w:ascii="新宋体" w:hAnsi="新宋体" w:eastAsia="新宋体" w:cs="新宋体"/>
          <w:bCs/>
          <w:color w:val="auto"/>
          <w:sz w:val="22"/>
          <w:highlight w:val="none"/>
        </w:rPr>
        <w:t>  小型、微型企业提供中型企业制造的货物的，视同为中型企业。</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（3）本项目对小型和微型企业产品的价格给予6%的扣除，用扣除后的价格参与评审。</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u w:val="single"/>
        </w:rPr>
        <w:t>3、享受小微企业价格折扣应提供以下证明材料（投标文件商务（报价）标中，三项证明材料提供不齐全的，不能享受价格扣除）</w:t>
      </w:r>
      <w:r>
        <w:rPr>
          <w:rFonts w:hint="eastAsia" w:ascii="新宋体" w:hAnsi="新宋体" w:eastAsia="新宋体" w:cs="新宋体"/>
          <w:bCs/>
          <w:color w:val="auto"/>
          <w:sz w:val="22"/>
          <w:highlight w:val="none"/>
        </w:rPr>
        <w:t>：</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（1）通过浙江政府采购网申请注册加入政府采购投标人库（不包括公示期内，提供浙江省政府采购网页面截图或其它入库证明材料，加盖投标供应商公章）</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（2）《中小企业声明函》（原件加盖投标供应商公章，格式见附件1）</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提供企业在职员工人数（提供社保部门出具并盖章的最近一个月的单位在职员工社保缴纳凭证）、营业收入及资产总额（提供上一年度资产负债表、损益表或利润表）。也可提供浙江政府采购网中审核通过后显示的小型或微型企业类型信息截图代替；</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4、</w:t>
      </w:r>
      <w:r>
        <w:rPr>
          <w:rFonts w:hint="eastAsia" w:ascii="新宋体" w:hAnsi="新宋体" w:eastAsia="新宋体" w:cs="新宋体"/>
          <w:bCs/>
          <w:color w:val="auto"/>
          <w:sz w:val="22"/>
          <w:highlight w:val="none"/>
          <w:u w:val="single"/>
        </w:rPr>
        <w:t>享受监狱企业价格折扣应提供以下证明材料（投标文件技术资信标中，不提供的不享受价格折扣）</w:t>
      </w:r>
      <w:r>
        <w:rPr>
          <w:rFonts w:hint="eastAsia" w:ascii="新宋体" w:hAnsi="新宋体" w:eastAsia="新宋体" w:cs="新宋体"/>
          <w:bCs/>
          <w:color w:val="auto"/>
          <w:sz w:val="22"/>
          <w:highlight w:val="none"/>
        </w:rPr>
        <w:t>：</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（1）《监狱企业声明函》（格式见附件2，原件加盖投标供应商公章）。</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5、</w:t>
      </w:r>
      <w:r>
        <w:rPr>
          <w:rFonts w:hint="eastAsia" w:ascii="新宋体" w:hAnsi="新宋体" w:eastAsia="新宋体" w:cs="新宋体"/>
          <w:bCs/>
          <w:color w:val="auto"/>
          <w:sz w:val="22"/>
          <w:highlight w:val="none"/>
          <w:u w:val="single"/>
        </w:rPr>
        <w:t>享受残疾人福利性单位格折扣应提供以下证明材料（投标文件商务（报价）标中，不提供的不享受价格折扣）</w:t>
      </w:r>
      <w:r>
        <w:rPr>
          <w:rFonts w:hint="eastAsia" w:ascii="新宋体" w:hAnsi="新宋体" w:eastAsia="新宋体" w:cs="新宋体"/>
          <w:bCs/>
          <w:color w:val="auto"/>
          <w:sz w:val="22"/>
          <w:highlight w:val="none"/>
        </w:rPr>
        <w:t>：</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（1）残疾人福利性单位声明函（格式见附件3，原件加盖投标供应商公章）。在政府采购活动中，残疾人福利性单位视同小型、微型企业，享受评审中价格扣除政策。</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7、</w:t>
      </w:r>
      <w:r>
        <w:rPr>
          <w:rFonts w:hint="eastAsia" w:ascii="新宋体" w:hAnsi="新宋体" w:eastAsia="新宋体" w:cs="新宋体"/>
          <w:bCs/>
          <w:color w:val="auto"/>
          <w:sz w:val="22"/>
          <w:highlight w:val="none"/>
          <w:u w:val="single"/>
        </w:rPr>
        <w:t>监狱企业、残疾人福利性单位参加投标，视为小型、微型企业，享受小微企业政策扶持，监狱企业、残疾人福利性单位属于小型、微型企业的，不重复享受政策。</w:t>
      </w: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left"/>
        <w:rPr>
          <w:rFonts w:hint="eastAsia" w:ascii="新宋体" w:hAnsi="新宋体" w:eastAsia="新宋体" w:cs="新宋体"/>
          <w:b/>
          <w:color w:val="auto"/>
          <w:sz w:val="22"/>
          <w:highlight w:val="none"/>
        </w:rPr>
      </w:pPr>
    </w:p>
    <w:p>
      <w:pPr>
        <w:spacing w:line="440" w:lineRule="atLeast"/>
        <w:jc w:val="center"/>
        <w:rPr>
          <w:rFonts w:hint="eastAsia" w:ascii="新宋体" w:hAnsi="新宋体" w:eastAsia="新宋体" w:cs="新宋体"/>
          <w:color w:val="auto"/>
          <w:sz w:val="22"/>
          <w:szCs w:val="22"/>
          <w:highlight w:val="none"/>
        </w:rPr>
      </w:pPr>
    </w:p>
    <w:p>
      <w:pPr>
        <w:spacing w:line="440" w:lineRule="atLeast"/>
        <w:jc w:val="center"/>
        <w:rPr>
          <w:rFonts w:hint="eastAsia" w:ascii="新宋体" w:hAnsi="新宋体" w:eastAsia="新宋体" w:cs="新宋体"/>
          <w:color w:val="auto"/>
          <w:sz w:val="22"/>
          <w:szCs w:val="22"/>
          <w:highlight w:val="none"/>
        </w:rPr>
      </w:pPr>
    </w:p>
    <w:p>
      <w:pPr>
        <w:spacing w:line="440" w:lineRule="atLeast"/>
        <w:jc w:val="center"/>
        <w:rPr>
          <w:rFonts w:hint="eastAsia" w:ascii="新宋体" w:hAnsi="新宋体" w:eastAsia="新宋体" w:cs="新宋体"/>
          <w:color w:val="auto"/>
          <w:sz w:val="22"/>
          <w:szCs w:val="22"/>
          <w:highlight w:val="none"/>
        </w:rPr>
      </w:pPr>
    </w:p>
    <w:p>
      <w:pPr>
        <w:spacing w:line="440" w:lineRule="atLeast"/>
        <w:jc w:val="center"/>
        <w:rPr>
          <w:rFonts w:hint="eastAsia" w:ascii="新宋体" w:hAnsi="新宋体" w:eastAsia="新宋体" w:cs="新宋体"/>
          <w:color w:val="auto"/>
          <w:sz w:val="22"/>
          <w:szCs w:val="22"/>
          <w:highlight w:val="none"/>
        </w:rPr>
      </w:pPr>
    </w:p>
    <w:p>
      <w:pPr>
        <w:spacing w:line="440" w:lineRule="atLeast"/>
        <w:jc w:val="center"/>
        <w:rPr>
          <w:rFonts w:hint="eastAsia" w:ascii="新宋体" w:hAnsi="新宋体" w:eastAsia="新宋体" w:cs="新宋体"/>
          <w:color w:val="auto"/>
          <w:sz w:val="22"/>
          <w:szCs w:val="22"/>
          <w:highlight w:val="none"/>
        </w:rPr>
      </w:pPr>
    </w:p>
    <w:p>
      <w:pPr>
        <w:spacing w:line="440" w:lineRule="atLeast"/>
        <w:jc w:val="center"/>
        <w:rPr>
          <w:rFonts w:hint="eastAsia" w:ascii="新宋体" w:hAnsi="新宋体" w:eastAsia="新宋体" w:cs="新宋体"/>
          <w:color w:val="auto"/>
          <w:sz w:val="22"/>
          <w:szCs w:val="22"/>
          <w:highlight w:val="none"/>
        </w:rPr>
      </w:pPr>
    </w:p>
    <w:p>
      <w:pPr>
        <w:spacing w:line="440" w:lineRule="atLeast"/>
        <w:jc w:val="center"/>
        <w:rPr>
          <w:rFonts w:hint="eastAsia" w:ascii="新宋体" w:hAnsi="新宋体" w:eastAsia="新宋体" w:cs="新宋体"/>
          <w:color w:val="auto"/>
          <w:sz w:val="22"/>
          <w:szCs w:val="22"/>
          <w:highlight w:val="none"/>
        </w:rPr>
      </w:pPr>
    </w:p>
    <w:p>
      <w:pPr>
        <w:spacing w:line="440" w:lineRule="atLeast"/>
        <w:jc w:val="center"/>
        <w:rPr>
          <w:rFonts w:hint="eastAsia" w:ascii="新宋体" w:hAnsi="新宋体" w:eastAsia="新宋体" w:cs="新宋体"/>
          <w:color w:val="auto"/>
          <w:sz w:val="22"/>
          <w:szCs w:val="22"/>
          <w:highlight w:val="none"/>
        </w:rPr>
      </w:pPr>
    </w:p>
    <w:p>
      <w:pPr>
        <w:spacing w:line="440" w:lineRule="atLeast"/>
        <w:jc w:val="center"/>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附件1                          </w:t>
      </w:r>
      <w:r>
        <w:rPr>
          <w:rFonts w:hint="eastAsia" w:ascii="新宋体" w:hAnsi="新宋体" w:eastAsia="新宋体" w:cs="新宋体"/>
          <w:b/>
          <w:bCs/>
          <w:color w:val="auto"/>
          <w:sz w:val="22"/>
          <w:szCs w:val="22"/>
          <w:highlight w:val="none"/>
        </w:rPr>
        <w:t xml:space="preserve">    中小企业声明函</w:t>
      </w:r>
    </w:p>
    <w:p>
      <w:pPr>
        <w:spacing w:line="440" w:lineRule="atLeas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【非小微企业不用提供】</w:t>
      </w:r>
    </w:p>
    <w:p>
      <w:pPr>
        <w:spacing w:line="440" w:lineRule="atLeast"/>
        <w:rPr>
          <w:rFonts w:hint="eastAsia" w:ascii="新宋体" w:hAnsi="新宋体" w:eastAsia="新宋体" w:cs="新宋体"/>
          <w:color w:val="auto"/>
          <w:sz w:val="22"/>
          <w:szCs w:val="22"/>
          <w:highlight w:val="none"/>
        </w:rPr>
      </w:pPr>
    </w:p>
    <w:p>
      <w:pPr>
        <w:spacing w:beforeLines="100" w:line="440" w:lineRule="atLeas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本公司郑重声明，根据《政府采购促进中小企业发展暂行办法》（财库[2011]181号）的规定，本公司为______（请填写：中型、小型、微型）企业。即，本公司同时满足以下条件：</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本公司对上述声明的真实性负责。如有虚假，将依法承担相应责任。</w:t>
      </w:r>
    </w:p>
    <w:p>
      <w:pPr>
        <w:spacing w:beforeLines="100" w:line="440" w:lineRule="atLeast"/>
        <w:ind w:firstLine="440" w:firstLineChars="200"/>
        <w:rPr>
          <w:rFonts w:hint="eastAsia" w:ascii="新宋体" w:hAnsi="新宋体" w:eastAsia="新宋体" w:cs="新宋体"/>
          <w:color w:val="auto"/>
          <w:sz w:val="22"/>
          <w:szCs w:val="22"/>
          <w:highlight w:val="none"/>
        </w:rPr>
      </w:pPr>
    </w:p>
    <w:p>
      <w:pPr>
        <w:spacing w:beforeLines="100" w:line="440" w:lineRule="atLeast"/>
        <w:ind w:firstLine="440" w:firstLineChars="20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投标供应商名称（盖章）：              </w:t>
      </w:r>
    </w:p>
    <w:p>
      <w:pPr>
        <w:spacing w:beforeLines="100" w:line="440" w:lineRule="atLeast"/>
        <w:ind w:firstLine="440" w:firstLineChars="20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附件2</w:t>
      </w:r>
    </w:p>
    <w:p>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 xml:space="preserve">   监狱企业声明函</w:t>
      </w:r>
    </w:p>
    <w:p>
      <w:pPr>
        <w:snapToGrid w:val="0"/>
        <w:spacing w:line="300" w:lineRule="auto"/>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pPr>
        <w:snapToGrid w:val="0"/>
        <w:spacing w:line="300" w:lineRule="auto"/>
        <w:ind w:firstLine="464" w:firstLineChars="200"/>
        <w:jc w:val="center"/>
        <w:rPr>
          <w:rFonts w:hint="eastAsia" w:ascii="新宋体" w:hAnsi="新宋体" w:eastAsia="新宋体" w:cs="新宋体"/>
          <w:color w:val="auto"/>
          <w:spacing w:val="6"/>
          <w:sz w:val="22"/>
          <w:szCs w:val="22"/>
          <w:highlight w:val="none"/>
        </w:rPr>
      </w:pP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）（项目编号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w:t>
      </w:r>
    </w:p>
    <w:p>
      <w:pPr>
        <w:adjustRightInd w:val="0"/>
        <w:snapToGrid w:val="0"/>
        <w:spacing w:line="300" w:lineRule="auto"/>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投标供应商名称（盖章）：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pPr>
        <w:adjustRightInd w:val="0"/>
        <w:snapToGrid w:val="0"/>
        <w:spacing w:line="300" w:lineRule="auto"/>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日期：       年     月   日 </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bookmarkStart w:id="41" w:name="OLE_LINK14"/>
      <w:bookmarkStart w:id="42" w:name="OLE_LINK13"/>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p>
    <w:p>
      <w:pPr>
        <w:spacing w:line="44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附件3</w:t>
      </w:r>
    </w:p>
    <w:p>
      <w:pPr>
        <w:spacing w:line="588" w:lineRule="exact"/>
        <w:jc w:val="center"/>
        <w:rPr>
          <w:rFonts w:hint="eastAsia" w:ascii="新宋体" w:hAnsi="新宋体" w:eastAsia="新宋体" w:cs="新宋体"/>
          <w:b/>
          <w:bCs/>
          <w:color w:val="auto"/>
          <w:spacing w:val="6"/>
          <w:sz w:val="22"/>
          <w:szCs w:val="22"/>
          <w:highlight w:val="none"/>
        </w:rPr>
      </w:pPr>
      <w:r>
        <w:rPr>
          <w:rFonts w:hint="eastAsia" w:ascii="新宋体" w:hAnsi="新宋体" w:eastAsia="新宋体" w:cs="新宋体"/>
          <w:b/>
          <w:bCs/>
          <w:color w:val="auto"/>
          <w:spacing w:val="6"/>
          <w:sz w:val="22"/>
          <w:szCs w:val="22"/>
          <w:highlight w:val="none"/>
        </w:rPr>
        <w:t>残疾人福利性单位声明函</w:t>
      </w:r>
    </w:p>
    <w:p>
      <w:pPr>
        <w:spacing w:line="588" w:lineRule="exact"/>
        <w:jc w:val="center"/>
        <w:rPr>
          <w:rFonts w:hint="eastAsia" w:ascii="新宋体" w:hAnsi="新宋体" w:eastAsia="新宋体" w:cs="新宋体"/>
          <w:b/>
          <w:bCs/>
          <w:color w:val="auto"/>
          <w:spacing w:val="6"/>
          <w:sz w:val="22"/>
          <w:szCs w:val="22"/>
          <w:highlight w:val="none"/>
        </w:rPr>
      </w:pPr>
      <w:r>
        <w:rPr>
          <w:rFonts w:hint="eastAsia" w:ascii="新宋体" w:hAnsi="新宋体" w:eastAsia="新宋体" w:cs="新宋体"/>
          <w:b/>
          <w:bCs/>
          <w:color w:val="auto"/>
          <w:spacing w:val="6"/>
          <w:sz w:val="22"/>
          <w:szCs w:val="22"/>
          <w:highlight w:val="none"/>
        </w:rPr>
        <w:t>【非残疾人福利性单位不用提供】</w:t>
      </w:r>
    </w:p>
    <w:p>
      <w:pPr>
        <w:spacing w:line="588" w:lineRule="exact"/>
        <w:jc w:val="center"/>
        <w:rPr>
          <w:rFonts w:hint="eastAsia" w:ascii="新宋体" w:hAnsi="新宋体" w:eastAsia="新宋体" w:cs="新宋体"/>
          <w:color w:val="auto"/>
          <w:spacing w:val="6"/>
          <w:sz w:val="22"/>
          <w:szCs w:val="22"/>
          <w:highlight w:val="none"/>
        </w:rPr>
      </w:pPr>
    </w:p>
    <w:bookmarkEnd w:id="41"/>
    <w:bookmarkEnd w:id="42"/>
    <w:p>
      <w:pPr>
        <w:spacing w:line="588" w:lineRule="exact"/>
        <w:rPr>
          <w:rFonts w:hint="eastAsia" w:ascii="新宋体" w:hAnsi="新宋体" w:eastAsia="新宋体" w:cs="新宋体"/>
          <w:color w:val="auto"/>
          <w:spacing w:val="6"/>
          <w:sz w:val="22"/>
          <w:szCs w:val="22"/>
          <w:highlight w:val="none"/>
        </w:rPr>
      </w:pPr>
    </w:p>
    <w:p>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pPr>
        <w:spacing w:line="588" w:lineRule="exact"/>
        <w:ind w:firstLine="464" w:firstLineChars="200"/>
        <w:rPr>
          <w:rFonts w:hint="eastAsia" w:ascii="新宋体" w:hAnsi="新宋体" w:eastAsia="新宋体" w:cs="新宋体"/>
          <w:color w:val="auto"/>
          <w:spacing w:val="6"/>
          <w:sz w:val="22"/>
          <w:szCs w:val="22"/>
          <w:highlight w:val="none"/>
        </w:rPr>
      </w:pPr>
    </w:p>
    <w:p>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单位名称（盖章）：</w:t>
      </w:r>
    </w:p>
    <w:p>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日  期：</w:t>
      </w:r>
    </w:p>
    <w:p>
      <w:pPr>
        <w:tabs>
          <w:tab w:val="left" w:pos="4860"/>
        </w:tabs>
        <w:spacing w:line="588" w:lineRule="exact"/>
        <w:ind w:right="1560" w:firstLine="624" w:firstLineChars="200"/>
        <w:jc w:val="center"/>
        <w:rPr>
          <w:rFonts w:hint="eastAsia" w:ascii="新宋体" w:hAnsi="新宋体" w:eastAsia="新宋体" w:cs="新宋体"/>
          <w:color w:val="auto"/>
          <w:spacing w:val="6"/>
          <w:sz w:val="30"/>
          <w:szCs w:val="30"/>
          <w:highlight w:val="none"/>
        </w:rPr>
      </w:pPr>
    </w:p>
    <w:p>
      <w:pPr>
        <w:tabs>
          <w:tab w:val="left" w:pos="4860"/>
        </w:tabs>
        <w:spacing w:line="588" w:lineRule="exact"/>
        <w:ind w:right="1560" w:firstLine="624" w:firstLineChars="200"/>
        <w:jc w:val="center"/>
        <w:rPr>
          <w:rFonts w:hint="eastAsia" w:ascii="新宋体" w:hAnsi="新宋体" w:eastAsia="新宋体" w:cs="新宋体"/>
          <w:color w:val="auto"/>
          <w:spacing w:val="6"/>
          <w:sz w:val="30"/>
          <w:szCs w:val="30"/>
          <w:highlight w:val="none"/>
        </w:rPr>
      </w:pPr>
    </w:p>
    <w:p>
      <w:pPr>
        <w:tabs>
          <w:tab w:val="left" w:pos="4860"/>
        </w:tabs>
        <w:spacing w:line="588" w:lineRule="exact"/>
        <w:ind w:right="1560"/>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备注说明：</w:t>
      </w:r>
    </w:p>
    <w:p>
      <w:pPr>
        <w:spacing w:line="588"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1、如中标，将在中标公告中将此残疾人福利性单位声明函予以公示，接受社会监督；</w:t>
      </w:r>
    </w:p>
    <w:p>
      <w:pPr>
        <w:spacing w:line="588"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2、供应商提供的《残疾人福利性单位声明函》与事实不符的，依照《政府采购法》第七十七条第一款的规定追究法律责任。</w:t>
      </w:r>
    </w:p>
    <w:p>
      <w:pPr>
        <w:tabs>
          <w:tab w:val="left" w:pos="993"/>
        </w:tabs>
        <w:spacing w:line="460" w:lineRule="exact"/>
        <w:rPr>
          <w:rFonts w:hint="eastAsia" w:ascii="新宋体" w:hAnsi="新宋体" w:eastAsia="新宋体" w:cs="新宋体"/>
          <w:b/>
          <w:color w:val="auto"/>
          <w:sz w:val="22"/>
          <w:highlight w:val="none"/>
        </w:rPr>
      </w:pPr>
    </w:p>
    <w:p>
      <w:pPr>
        <w:tabs>
          <w:tab w:val="left" w:pos="993"/>
        </w:tabs>
        <w:spacing w:line="460" w:lineRule="exact"/>
        <w:rPr>
          <w:rFonts w:hint="eastAsia" w:ascii="新宋体" w:hAnsi="新宋体" w:eastAsia="新宋体" w:cs="新宋体"/>
          <w:b/>
          <w:color w:val="auto"/>
          <w:sz w:val="22"/>
          <w:highlight w:val="none"/>
        </w:rPr>
      </w:pPr>
    </w:p>
    <w:p>
      <w:pPr>
        <w:rPr>
          <w:rFonts w:hint="eastAsia" w:ascii="新宋体" w:hAnsi="新宋体" w:eastAsia="新宋体" w:cs="新宋体"/>
          <w:color w:val="auto"/>
          <w:sz w:val="22"/>
          <w:szCs w:val="22"/>
          <w:highlight w:val="none"/>
        </w:rPr>
      </w:pPr>
    </w:p>
    <w:p>
      <w:pPr>
        <w:pStyle w:val="2"/>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43" w:name="_Toc422225262"/>
      <w:bookmarkStart w:id="44" w:name="_Toc249758871"/>
      <w:bookmarkStart w:id="45" w:name="_Toc262049425"/>
      <w:bookmarkStart w:id="46" w:name="_Toc262105510"/>
      <w:bookmarkStart w:id="47" w:name="_Toc249758721"/>
      <w:bookmarkStart w:id="48" w:name="_Toc508785488"/>
      <w:r>
        <w:rPr>
          <w:rFonts w:hint="eastAsia" w:ascii="新宋体" w:hAnsi="新宋体" w:eastAsia="新宋体" w:cs="新宋体"/>
          <w:color w:val="auto"/>
          <w:sz w:val="36"/>
          <w:szCs w:val="36"/>
          <w:highlight w:val="none"/>
        </w:rPr>
        <w:t xml:space="preserve">第三部分   </w:t>
      </w:r>
      <w:bookmarkEnd w:id="43"/>
      <w:bookmarkEnd w:id="44"/>
      <w:bookmarkEnd w:id="45"/>
      <w:bookmarkEnd w:id="46"/>
      <w:bookmarkEnd w:id="47"/>
      <w:r>
        <w:rPr>
          <w:rFonts w:hint="eastAsia" w:ascii="新宋体" w:hAnsi="新宋体" w:eastAsia="新宋体" w:cs="新宋体"/>
          <w:color w:val="auto"/>
          <w:sz w:val="36"/>
          <w:szCs w:val="36"/>
          <w:highlight w:val="none"/>
        </w:rPr>
        <w:t>磋商原则及方法</w:t>
      </w:r>
      <w:bookmarkEnd w:id="48"/>
    </w:p>
    <w:p>
      <w:pPr>
        <w:spacing w:line="460" w:lineRule="exact"/>
        <w:jc w:val="center"/>
        <w:rPr>
          <w:rFonts w:hint="eastAsia" w:ascii="新宋体" w:hAnsi="新宋体" w:eastAsia="新宋体" w:cs="新宋体"/>
          <w:b/>
          <w:bCs/>
          <w:color w:val="auto"/>
          <w:sz w:val="36"/>
          <w:szCs w:val="36"/>
          <w:highlight w:val="none"/>
        </w:rPr>
      </w:pPr>
    </w:p>
    <w:p>
      <w:pPr>
        <w:tabs>
          <w:tab w:val="left" w:pos="6358"/>
        </w:tabs>
        <w:snapToGrid w:val="0"/>
        <w:spacing w:line="400" w:lineRule="exact"/>
        <w:ind w:firstLine="440" w:firstLineChars="200"/>
        <w:rPr>
          <w:rFonts w:hint="eastAsia" w:ascii="新宋体" w:hAnsi="新宋体" w:eastAsia="新宋体" w:cs="新宋体"/>
          <w:color w:val="auto"/>
          <w:sz w:val="22"/>
          <w:szCs w:val="22"/>
          <w:highlight w:val="none"/>
        </w:rPr>
      </w:pPr>
      <w:bookmarkStart w:id="49" w:name="_Toc221356961"/>
      <w:bookmarkStart w:id="50" w:name="_Toc221356898"/>
      <w:r>
        <w:rPr>
          <w:rFonts w:hint="eastAsia" w:ascii="新宋体" w:hAnsi="新宋体" w:eastAsia="新宋体" w:cs="新宋体"/>
          <w:color w:val="auto"/>
          <w:sz w:val="22"/>
          <w:szCs w:val="22"/>
          <w:highlight w:val="none"/>
        </w:rPr>
        <w:t>本次评审及磋商采用综合评估法。开标后，磋商小组将根据下列方法对供应商所提交的磋商响应文件进行评审。</w:t>
      </w:r>
    </w:p>
    <w:p>
      <w:pPr>
        <w:tabs>
          <w:tab w:val="left" w:pos="6358"/>
        </w:tabs>
        <w:snapToGrid w:val="0"/>
        <w:spacing w:line="40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一、总则</w:t>
      </w:r>
    </w:p>
    <w:p>
      <w:pPr>
        <w:spacing w:line="420" w:lineRule="exact"/>
        <w:rPr>
          <w:rFonts w:hint="eastAsia" w:ascii="新宋体" w:hAnsi="新宋体" w:eastAsia="新宋体" w:cs="新宋体"/>
          <w:color w:val="auto"/>
          <w:sz w:val="22"/>
          <w:szCs w:val="22"/>
          <w:highlight w:val="none"/>
        </w:rPr>
      </w:pPr>
      <w:bookmarkStart w:id="51" w:name="_Toc416695955"/>
      <w:bookmarkStart w:id="52" w:name="_Toc413771022"/>
      <w:r>
        <w:rPr>
          <w:rFonts w:hint="eastAsia" w:ascii="新宋体" w:hAnsi="新宋体" w:eastAsia="新宋体" w:cs="新宋体"/>
          <w:color w:val="auto"/>
          <w:sz w:val="22"/>
          <w:szCs w:val="22"/>
          <w:highlight w:val="none"/>
        </w:rPr>
        <w:t xml:space="preserve">    评审工作遵循“公平、公正、科学、择优”原则和“诚实、信誉、效率”的服务原则。最大限度的保护采购人权益，严格按照磋商文件的要求，对磋商响应文件进行综合评审。磋商供应商不得以任何方式干扰采购工作的进行，一经发现其磋商响应文件将被拒绝。</w:t>
      </w:r>
    </w:p>
    <w:p>
      <w:pPr>
        <w:tabs>
          <w:tab w:val="left" w:pos="6358"/>
        </w:tabs>
        <w:snapToGrid w:val="0"/>
        <w:spacing w:line="400" w:lineRule="exact"/>
        <w:ind w:left="770" w:hanging="770" w:hanging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w:t>
      </w:r>
      <w:bookmarkEnd w:id="51"/>
      <w:bookmarkEnd w:id="52"/>
      <w:r>
        <w:rPr>
          <w:rFonts w:hint="eastAsia" w:ascii="新宋体" w:hAnsi="新宋体" w:eastAsia="新宋体" w:cs="新宋体"/>
          <w:color w:val="auto"/>
          <w:sz w:val="22"/>
          <w:szCs w:val="22"/>
          <w:highlight w:val="none"/>
        </w:rPr>
        <w:t>评审组织</w:t>
      </w:r>
    </w:p>
    <w:p>
      <w:pPr>
        <w:tabs>
          <w:tab w:val="left" w:pos="6358"/>
        </w:tabs>
        <w:snapToGrid w:val="0"/>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评审及磋商工作由采购人依法组建的磋商小组负责，评审及磋商全过程由有关部门指导监督。</w:t>
      </w:r>
    </w:p>
    <w:p>
      <w:pPr>
        <w:tabs>
          <w:tab w:val="left" w:pos="6358"/>
        </w:tabs>
        <w:snapToGrid w:val="0"/>
        <w:spacing w:line="400" w:lineRule="exact"/>
        <w:ind w:left="770" w:hanging="770" w:hangingChars="350"/>
        <w:rPr>
          <w:rFonts w:hint="eastAsia" w:ascii="新宋体" w:hAnsi="新宋体" w:eastAsia="新宋体" w:cs="新宋体"/>
          <w:color w:val="auto"/>
          <w:sz w:val="22"/>
          <w:szCs w:val="22"/>
          <w:highlight w:val="none"/>
        </w:rPr>
      </w:pPr>
      <w:bookmarkStart w:id="53" w:name="_Toc416695957"/>
      <w:bookmarkStart w:id="54" w:name="_Toc413771024"/>
      <w:r>
        <w:rPr>
          <w:rFonts w:hint="eastAsia" w:ascii="新宋体" w:hAnsi="新宋体" w:eastAsia="新宋体" w:cs="新宋体"/>
          <w:color w:val="auto"/>
          <w:sz w:val="22"/>
          <w:szCs w:val="22"/>
          <w:highlight w:val="none"/>
        </w:rPr>
        <w:t>三、评审及磋商的程序</w:t>
      </w:r>
      <w:bookmarkEnd w:id="53"/>
      <w:bookmarkEnd w:id="54"/>
    </w:p>
    <w:p>
      <w:pPr>
        <w:numPr>
          <w:ilvl w:val="0"/>
          <w:numId w:val="19"/>
        </w:numPr>
        <w:tabs>
          <w:tab w:val="left" w:pos="851"/>
        </w:tabs>
        <w:snapToGrid w:val="0"/>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熟悉竞争性磋商采购文件和评审磋商办法；</w:t>
      </w:r>
    </w:p>
    <w:p>
      <w:pPr>
        <w:numPr>
          <w:ilvl w:val="0"/>
          <w:numId w:val="19"/>
        </w:numPr>
        <w:tabs>
          <w:tab w:val="left" w:pos="851"/>
        </w:tabs>
        <w:snapToGrid w:val="0"/>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开启磋商响应文件（一次报价不公布）；</w:t>
      </w:r>
    </w:p>
    <w:p>
      <w:pPr>
        <w:numPr>
          <w:ilvl w:val="0"/>
          <w:numId w:val="19"/>
        </w:numPr>
        <w:tabs>
          <w:tab w:val="left" w:pos="851"/>
        </w:tabs>
        <w:snapToGrid w:val="0"/>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资格审查；</w:t>
      </w:r>
    </w:p>
    <w:p>
      <w:pPr>
        <w:numPr>
          <w:ilvl w:val="0"/>
          <w:numId w:val="19"/>
        </w:numPr>
        <w:tabs>
          <w:tab w:val="left" w:pos="851"/>
        </w:tabs>
        <w:snapToGrid w:val="0"/>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符合性审查；</w:t>
      </w:r>
    </w:p>
    <w:p>
      <w:pPr>
        <w:numPr>
          <w:ilvl w:val="0"/>
          <w:numId w:val="19"/>
        </w:numPr>
        <w:tabs>
          <w:tab w:val="left" w:pos="851"/>
        </w:tabs>
        <w:snapToGrid w:val="0"/>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磋商</w:t>
      </w:r>
      <w:r>
        <w:rPr>
          <w:rFonts w:hint="eastAsia" w:ascii="新宋体" w:hAnsi="新宋体" w:eastAsia="新宋体" w:cs="新宋体"/>
          <w:color w:val="auto"/>
          <w:sz w:val="22"/>
          <w:szCs w:val="22"/>
          <w:highlight w:val="none"/>
        </w:rPr>
        <w:t>（需要时）</w:t>
      </w:r>
      <w:r>
        <w:rPr>
          <w:rFonts w:hint="eastAsia" w:ascii="新宋体" w:hAnsi="新宋体" w:eastAsia="新宋体" w:cs="新宋体"/>
          <w:color w:val="auto"/>
          <w:sz w:val="22"/>
          <w:szCs w:val="22"/>
          <w:highlight w:val="none"/>
          <w:lang w:eastAsia="zh-CN"/>
        </w:rPr>
        <w:t>；</w:t>
      </w:r>
    </w:p>
    <w:p>
      <w:pPr>
        <w:numPr>
          <w:ilvl w:val="0"/>
          <w:numId w:val="19"/>
        </w:numPr>
        <w:tabs>
          <w:tab w:val="left" w:pos="851"/>
        </w:tabs>
        <w:snapToGrid w:val="0"/>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磋商二次报价或最终报价；</w:t>
      </w:r>
    </w:p>
    <w:p>
      <w:pPr>
        <w:numPr>
          <w:ilvl w:val="0"/>
          <w:numId w:val="19"/>
        </w:numPr>
        <w:tabs>
          <w:tab w:val="left" w:pos="851"/>
        </w:tabs>
        <w:snapToGrid w:val="0"/>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磋商响应文件技术资信标评分；</w:t>
      </w:r>
    </w:p>
    <w:p>
      <w:pPr>
        <w:numPr>
          <w:ilvl w:val="0"/>
          <w:numId w:val="19"/>
        </w:numPr>
        <w:tabs>
          <w:tab w:val="left" w:pos="851"/>
        </w:tabs>
        <w:snapToGrid w:val="0"/>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磋商小组确定评审区间，然后对进入评审区间的磋商响应文件进行商务标详细评审；</w:t>
      </w:r>
    </w:p>
    <w:p>
      <w:pPr>
        <w:numPr>
          <w:ilvl w:val="0"/>
          <w:numId w:val="19"/>
        </w:numPr>
        <w:tabs>
          <w:tab w:val="left" w:pos="851"/>
        </w:tabs>
        <w:snapToGrid w:val="0"/>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询标（需要时）；</w:t>
      </w:r>
    </w:p>
    <w:p>
      <w:pPr>
        <w:numPr>
          <w:ilvl w:val="0"/>
          <w:numId w:val="19"/>
        </w:numPr>
        <w:tabs>
          <w:tab w:val="left" w:pos="851"/>
        </w:tabs>
        <w:snapToGrid w:val="0"/>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磋商小组根据评审结果，提交评审报告。</w:t>
      </w:r>
    </w:p>
    <w:p>
      <w:pPr>
        <w:tabs>
          <w:tab w:val="left" w:pos="6358"/>
        </w:tabs>
        <w:snapToGrid w:val="0"/>
        <w:spacing w:line="400" w:lineRule="exact"/>
        <w:ind w:left="770" w:hanging="770" w:hanging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四、评审细则</w:t>
      </w:r>
    </w:p>
    <w:p>
      <w:pPr>
        <w:tabs>
          <w:tab w:val="left" w:pos="6358"/>
        </w:tabs>
        <w:snapToGrid w:val="0"/>
        <w:spacing w:line="400" w:lineRule="exact"/>
        <w:ind w:left="770" w:hanging="770" w:hanging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（一）、磋商响应文件的技术资信评分（70分）</w:t>
      </w:r>
    </w:p>
    <w:p>
      <w:pPr>
        <w:adjustRightInd w:val="0"/>
        <w:snapToGrid w:val="0"/>
        <w:spacing w:line="400" w:lineRule="exact"/>
        <w:ind w:firstLine="44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技术资信部分的最终得分（四舍五入，保留小数点后二位）。</w:t>
      </w:r>
    </w:p>
    <w:p>
      <w:pPr>
        <w:spacing w:line="360" w:lineRule="auto"/>
        <w:jc w:val="lef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（1)技术资信评分表</w:t>
      </w:r>
    </w:p>
    <w:tbl>
      <w:tblPr>
        <w:tblStyle w:val="66"/>
        <w:tblW w:w="9401"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0"/>
        <w:gridCol w:w="2632"/>
        <w:gridCol w:w="58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7" w:hRule="atLeast"/>
          <w:jc w:val="center"/>
        </w:trPr>
        <w:tc>
          <w:tcPr>
            <w:tcW w:w="920" w:type="dxa"/>
            <w:vAlign w:val="center"/>
          </w:tcPr>
          <w:p>
            <w:pPr>
              <w:spacing w:line="300" w:lineRule="auto"/>
              <w:jc w:val="center"/>
              <w:rPr>
                <w:rFonts w:hint="eastAsia"/>
                <w:color w:val="auto"/>
                <w:szCs w:val="21"/>
                <w:highlight w:val="none"/>
              </w:rPr>
            </w:pPr>
            <w:r>
              <w:rPr>
                <w:rFonts w:hint="eastAsia"/>
                <w:color w:val="auto"/>
                <w:szCs w:val="21"/>
                <w:highlight w:val="none"/>
              </w:rPr>
              <w:t>序号</w:t>
            </w:r>
          </w:p>
        </w:tc>
        <w:tc>
          <w:tcPr>
            <w:tcW w:w="2632" w:type="dxa"/>
            <w:vAlign w:val="center"/>
          </w:tcPr>
          <w:p>
            <w:pPr>
              <w:spacing w:line="300" w:lineRule="auto"/>
              <w:jc w:val="center"/>
              <w:rPr>
                <w:color w:val="auto"/>
                <w:szCs w:val="21"/>
                <w:highlight w:val="none"/>
              </w:rPr>
            </w:pPr>
            <w:r>
              <w:rPr>
                <w:color w:val="auto"/>
                <w:szCs w:val="21"/>
                <w:highlight w:val="none"/>
              </w:rPr>
              <w:t>评标要点及说明</w:t>
            </w:r>
          </w:p>
        </w:tc>
        <w:tc>
          <w:tcPr>
            <w:tcW w:w="5849" w:type="dxa"/>
            <w:vAlign w:val="center"/>
          </w:tcPr>
          <w:p>
            <w:pPr>
              <w:spacing w:line="300" w:lineRule="auto"/>
              <w:jc w:val="center"/>
              <w:rPr>
                <w:color w:val="auto"/>
                <w:szCs w:val="21"/>
                <w:highlight w:val="none"/>
              </w:rPr>
            </w:pPr>
            <w:r>
              <w:rPr>
                <w:color w:val="auto"/>
                <w:szCs w:val="21"/>
                <w:highlight w:val="none"/>
              </w:rPr>
              <w:t>详细评分标准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7" w:hRule="atLeast"/>
          <w:jc w:val="center"/>
        </w:trPr>
        <w:tc>
          <w:tcPr>
            <w:tcW w:w="920" w:type="dxa"/>
            <w:vAlign w:val="center"/>
          </w:tcPr>
          <w:p>
            <w:pPr>
              <w:spacing w:line="300" w:lineRule="auto"/>
              <w:jc w:val="center"/>
              <w:rPr>
                <w:color w:val="auto"/>
                <w:szCs w:val="21"/>
                <w:highlight w:val="none"/>
              </w:rPr>
            </w:pPr>
            <w:r>
              <w:rPr>
                <w:rFonts w:hint="eastAsia"/>
                <w:color w:val="auto"/>
                <w:szCs w:val="21"/>
                <w:highlight w:val="none"/>
              </w:rPr>
              <w:t>1</w:t>
            </w:r>
          </w:p>
        </w:tc>
        <w:tc>
          <w:tcPr>
            <w:tcW w:w="2632" w:type="dxa"/>
            <w:vAlign w:val="center"/>
          </w:tcPr>
          <w:p>
            <w:pPr>
              <w:rPr>
                <w:rFonts w:hint="eastAsia"/>
                <w:color w:val="auto"/>
                <w:szCs w:val="21"/>
                <w:highlight w:val="none"/>
              </w:rPr>
            </w:pPr>
            <w:r>
              <w:rPr>
                <w:rFonts w:hint="eastAsia"/>
                <w:color w:val="auto"/>
                <w:szCs w:val="21"/>
                <w:highlight w:val="none"/>
              </w:rPr>
              <w:t>技术方案（10分）</w:t>
            </w:r>
          </w:p>
        </w:tc>
        <w:tc>
          <w:tcPr>
            <w:tcW w:w="5849" w:type="dxa"/>
            <w:vAlign w:val="center"/>
          </w:tcPr>
          <w:p>
            <w:pPr>
              <w:suppressAutoHyphens/>
              <w:snapToGrid w:val="0"/>
              <w:spacing w:line="300" w:lineRule="exact"/>
              <w:rPr>
                <w:rFonts w:ascii="宋体" w:hAnsi="宋体"/>
                <w:bCs/>
                <w:color w:val="auto"/>
                <w:szCs w:val="21"/>
                <w:highlight w:val="none"/>
              </w:rPr>
            </w:pPr>
            <w:r>
              <w:rPr>
                <w:rFonts w:hint="eastAsia" w:ascii="宋体" w:hAnsi="宋体"/>
                <w:bCs/>
                <w:color w:val="auto"/>
                <w:szCs w:val="21"/>
                <w:highlight w:val="none"/>
              </w:rPr>
              <w:t>（1）能够结合用户需求，详细说明所采用的技术架构、网络架构、系统架构、运行软硬件环境要求等，做到技术先进、架构清晰、设计合理。（4分）</w:t>
            </w:r>
          </w:p>
          <w:p>
            <w:pPr>
              <w:suppressAutoHyphens/>
              <w:snapToGrid w:val="0"/>
              <w:spacing w:line="300" w:lineRule="exact"/>
              <w:rPr>
                <w:rFonts w:ascii="宋体" w:hAnsi="宋体"/>
                <w:bCs/>
                <w:color w:val="auto"/>
                <w:szCs w:val="21"/>
                <w:highlight w:val="none"/>
              </w:rPr>
            </w:pPr>
            <w:r>
              <w:rPr>
                <w:rFonts w:hint="eastAsia" w:ascii="宋体" w:hAnsi="宋体"/>
                <w:bCs/>
                <w:color w:val="auto"/>
                <w:szCs w:val="21"/>
                <w:highlight w:val="none"/>
              </w:rPr>
              <w:t>（2）整体方案规划具有扩展性和兼容性，考虑比较充分，方案编写详实、项目实施计划合理。（3分）</w:t>
            </w:r>
          </w:p>
          <w:p>
            <w:pPr>
              <w:spacing w:line="300" w:lineRule="auto"/>
              <w:rPr>
                <w:rFonts w:hint="eastAsia" w:ascii="宋体" w:hAnsi="宋体"/>
                <w:bCs/>
                <w:color w:val="auto"/>
                <w:szCs w:val="21"/>
                <w:highlight w:val="none"/>
              </w:rPr>
            </w:pPr>
            <w:r>
              <w:rPr>
                <w:rFonts w:hint="eastAsia" w:ascii="宋体" w:hAnsi="宋体"/>
                <w:bCs/>
                <w:color w:val="auto"/>
                <w:szCs w:val="21"/>
                <w:highlight w:val="none"/>
              </w:rPr>
              <w:t>（3）整体方案规划对安全风险进行分析，并提出切实可行的解决方案及相应的安全策略。（3分）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7" w:hRule="atLeast"/>
          <w:jc w:val="center"/>
        </w:trPr>
        <w:tc>
          <w:tcPr>
            <w:tcW w:w="920" w:type="dxa"/>
            <w:vAlign w:val="center"/>
          </w:tcPr>
          <w:p>
            <w:pPr>
              <w:spacing w:line="300" w:lineRule="auto"/>
              <w:jc w:val="center"/>
              <w:rPr>
                <w:color w:val="auto"/>
                <w:szCs w:val="21"/>
                <w:highlight w:val="none"/>
              </w:rPr>
            </w:pPr>
            <w:r>
              <w:rPr>
                <w:rFonts w:hint="eastAsia"/>
                <w:color w:val="auto"/>
                <w:szCs w:val="21"/>
                <w:highlight w:val="none"/>
              </w:rPr>
              <w:t>2</w:t>
            </w:r>
          </w:p>
        </w:tc>
        <w:tc>
          <w:tcPr>
            <w:tcW w:w="2632" w:type="dxa"/>
            <w:vAlign w:val="center"/>
          </w:tcPr>
          <w:p>
            <w:pPr>
              <w:rPr>
                <w:rFonts w:hint="eastAsia"/>
                <w:color w:val="auto"/>
                <w:szCs w:val="21"/>
                <w:highlight w:val="none"/>
              </w:rPr>
            </w:pPr>
            <w:r>
              <w:rPr>
                <w:rFonts w:hint="eastAsia" w:ascii="宋体" w:hAnsi="宋体"/>
                <w:color w:val="auto"/>
                <w:szCs w:val="21"/>
                <w:highlight w:val="none"/>
              </w:rPr>
              <w:t>项目自主研发能力</w:t>
            </w:r>
            <w:r>
              <w:rPr>
                <w:rFonts w:hint="eastAsia"/>
                <w:color w:val="auto"/>
                <w:szCs w:val="21"/>
                <w:highlight w:val="none"/>
              </w:rPr>
              <w:t>（5分）</w:t>
            </w:r>
          </w:p>
        </w:tc>
        <w:tc>
          <w:tcPr>
            <w:tcW w:w="5849" w:type="dxa"/>
            <w:vAlign w:val="center"/>
          </w:tcPr>
          <w:p>
            <w:pPr>
              <w:spacing w:line="300" w:lineRule="auto"/>
              <w:rPr>
                <w:rFonts w:hint="eastAsia"/>
                <w:color w:val="auto"/>
                <w:szCs w:val="21"/>
                <w:highlight w:val="none"/>
              </w:rPr>
            </w:pPr>
            <w:r>
              <w:rPr>
                <w:rFonts w:hint="eastAsia" w:ascii="宋体" w:hAnsi="宋体"/>
                <w:bCs/>
                <w:color w:val="auto"/>
                <w:szCs w:val="21"/>
                <w:highlight w:val="none"/>
              </w:rPr>
              <w:t>本项目签署的合同为技术开发合同，支持医院的定制化开发,</w:t>
            </w:r>
            <w:r>
              <w:rPr>
                <w:rFonts w:hint="eastAsia"/>
                <w:color w:val="auto"/>
                <w:szCs w:val="21"/>
                <w:highlight w:val="none"/>
              </w:rPr>
              <w:t>属于自主研发系统，得5分，否则不得分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7" w:hRule="atLeast"/>
          <w:jc w:val="center"/>
        </w:trPr>
        <w:tc>
          <w:tcPr>
            <w:tcW w:w="920" w:type="dxa"/>
            <w:vAlign w:val="center"/>
          </w:tcPr>
          <w:p>
            <w:pPr>
              <w:spacing w:line="300" w:lineRule="auto"/>
              <w:jc w:val="center"/>
              <w:rPr>
                <w:rFonts w:hint="eastAsia"/>
                <w:color w:val="auto"/>
                <w:szCs w:val="21"/>
                <w:highlight w:val="none"/>
              </w:rPr>
            </w:pPr>
            <w:r>
              <w:rPr>
                <w:rFonts w:hint="eastAsia"/>
                <w:color w:val="auto"/>
                <w:szCs w:val="21"/>
                <w:highlight w:val="none"/>
              </w:rPr>
              <w:t>3</w:t>
            </w:r>
          </w:p>
        </w:tc>
        <w:tc>
          <w:tcPr>
            <w:tcW w:w="2632" w:type="dxa"/>
            <w:vAlign w:val="center"/>
          </w:tcPr>
          <w:p>
            <w:pPr>
              <w:rPr>
                <w:rFonts w:hint="eastAsia"/>
                <w:color w:val="auto"/>
                <w:szCs w:val="21"/>
                <w:highlight w:val="none"/>
              </w:rPr>
            </w:pPr>
            <w:r>
              <w:rPr>
                <w:rFonts w:hint="eastAsia"/>
                <w:color w:val="auto"/>
                <w:szCs w:val="21"/>
                <w:highlight w:val="none"/>
              </w:rPr>
              <w:t>项目业绩（8分）</w:t>
            </w:r>
          </w:p>
        </w:tc>
        <w:tc>
          <w:tcPr>
            <w:tcW w:w="5849" w:type="dxa"/>
            <w:vAlign w:val="center"/>
          </w:tcPr>
          <w:p>
            <w:pPr>
              <w:spacing w:line="300" w:lineRule="auto"/>
              <w:rPr>
                <w:rFonts w:hint="eastAsia"/>
                <w:color w:val="auto"/>
                <w:szCs w:val="21"/>
                <w:highlight w:val="none"/>
              </w:rPr>
            </w:pPr>
            <w:r>
              <w:rPr>
                <w:rFonts w:hint="eastAsia" w:ascii="新宋体" w:hAnsi="新宋体" w:eastAsia="新宋体" w:cs="新宋体"/>
                <w:bCs/>
                <w:color w:val="auto"/>
                <w:kern w:val="0"/>
                <w:szCs w:val="21"/>
                <w:highlight w:val="none"/>
              </w:rPr>
              <w:t>投标人近三年（2015年7月1日至今）同类</w:t>
            </w:r>
            <w:r>
              <w:rPr>
                <w:rFonts w:hint="eastAsia" w:ascii="新宋体" w:hAnsi="新宋体" w:eastAsia="新宋体" w:cs="新宋体"/>
                <w:color w:val="auto"/>
                <w:kern w:val="0"/>
                <w:szCs w:val="21"/>
                <w:highlight w:val="none"/>
              </w:rPr>
              <w:t>项目成功案例，</w:t>
            </w:r>
            <w:r>
              <w:rPr>
                <w:rFonts w:hint="eastAsia" w:ascii="宋体" w:hAnsi="宋体"/>
                <w:bCs/>
                <w:color w:val="auto"/>
                <w:szCs w:val="21"/>
                <w:highlight w:val="none"/>
              </w:rPr>
              <w:t>具有建设大型医院成本软件系统项目经验，符合国家《财务制度及会计制度》有关医院全成本与效益核算管理内容和要,</w:t>
            </w:r>
            <w:r>
              <w:rPr>
                <w:rFonts w:hint="eastAsia" w:ascii="宋体" w:hAnsi="宋体"/>
                <w:color w:val="auto"/>
                <w:kern w:val="0"/>
                <w:szCs w:val="21"/>
                <w:highlight w:val="none"/>
              </w:rPr>
              <w:t>提供签约项目的合同及结项验收报告为证，如果中标后发现弄虚作假，将被废标并承担责任。</w:t>
            </w:r>
            <w:r>
              <w:rPr>
                <w:rFonts w:hint="eastAsia"/>
                <w:color w:val="auto"/>
                <w:szCs w:val="21"/>
                <w:highlight w:val="none"/>
              </w:rPr>
              <w:t>每提供1个案列得2分，最高得8分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4" w:hRule="atLeast"/>
          <w:jc w:val="center"/>
        </w:trPr>
        <w:tc>
          <w:tcPr>
            <w:tcW w:w="920" w:type="dxa"/>
            <w:vAlign w:val="center"/>
          </w:tcPr>
          <w:p>
            <w:pPr>
              <w:spacing w:line="300" w:lineRule="auto"/>
              <w:jc w:val="center"/>
              <w:rPr>
                <w:rFonts w:hint="eastAsia"/>
                <w:color w:val="auto"/>
                <w:szCs w:val="21"/>
                <w:highlight w:val="none"/>
              </w:rPr>
            </w:pPr>
            <w:r>
              <w:rPr>
                <w:rFonts w:hint="eastAsia"/>
                <w:color w:val="auto"/>
                <w:szCs w:val="21"/>
                <w:highlight w:val="none"/>
              </w:rPr>
              <w:t>4</w:t>
            </w:r>
          </w:p>
        </w:tc>
        <w:tc>
          <w:tcPr>
            <w:tcW w:w="2632" w:type="dxa"/>
            <w:vAlign w:val="center"/>
          </w:tcPr>
          <w:p>
            <w:pPr>
              <w:spacing w:line="300" w:lineRule="auto"/>
              <w:rPr>
                <w:rFonts w:hint="eastAsia" w:ascii="宋体" w:hAnsi="宋体"/>
                <w:color w:val="auto"/>
                <w:kern w:val="0"/>
                <w:szCs w:val="21"/>
                <w:highlight w:val="none"/>
              </w:rPr>
            </w:pPr>
            <w:r>
              <w:rPr>
                <w:rFonts w:hint="eastAsia" w:ascii="宋体" w:hAnsi="宋体"/>
                <w:color w:val="auto"/>
                <w:kern w:val="0"/>
                <w:szCs w:val="21"/>
                <w:highlight w:val="none"/>
              </w:rPr>
              <w:t>投标供应商综合实力(9分)</w:t>
            </w:r>
          </w:p>
        </w:tc>
        <w:tc>
          <w:tcPr>
            <w:tcW w:w="5849" w:type="dxa"/>
            <w:vAlign w:val="center"/>
          </w:tcPr>
          <w:p>
            <w:pPr>
              <w:spacing w:line="300" w:lineRule="auto"/>
              <w:rPr>
                <w:rFonts w:hint="eastAsia" w:ascii="宋体" w:hAnsi="宋体"/>
                <w:color w:val="auto"/>
                <w:kern w:val="0"/>
                <w:szCs w:val="21"/>
                <w:highlight w:val="none"/>
              </w:rPr>
            </w:pPr>
            <w:r>
              <w:rPr>
                <w:rFonts w:hint="eastAsia" w:ascii="宋体" w:hAnsi="宋体"/>
                <w:color w:val="auto"/>
                <w:kern w:val="0"/>
                <w:szCs w:val="21"/>
                <w:highlight w:val="none"/>
              </w:rPr>
              <w:t>1、软件企业认证证书5分；（原件备查）</w:t>
            </w:r>
          </w:p>
          <w:p>
            <w:pPr>
              <w:spacing w:line="300" w:lineRule="auto"/>
              <w:rPr>
                <w:rFonts w:hint="eastAsia" w:ascii="宋体" w:hAnsi="宋体"/>
                <w:color w:val="auto"/>
                <w:kern w:val="0"/>
                <w:szCs w:val="21"/>
                <w:highlight w:val="none"/>
              </w:rPr>
            </w:pPr>
            <w:r>
              <w:rPr>
                <w:rFonts w:hint="eastAsia" w:ascii="宋体" w:hAnsi="宋体"/>
                <w:color w:val="auto"/>
                <w:kern w:val="0"/>
                <w:szCs w:val="21"/>
                <w:highlight w:val="none"/>
              </w:rPr>
              <w:t>2、成本软件系统的计算机软件著作权登记证书4分；（原件备查）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7" w:hRule="atLeast"/>
          <w:jc w:val="center"/>
        </w:trPr>
        <w:tc>
          <w:tcPr>
            <w:tcW w:w="920" w:type="dxa"/>
            <w:vAlign w:val="center"/>
          </w:tcPr>
          <w:p>
            <w:pPr>
              <w:spacing w:line="300" w:lineRule="auto"/>
              <w:jc w:val="center"/>
              <w:rPr>
                <w:rFonts w:hint="eastAsia"/>
                <w:color w:val="auto"/>
                <w:szCs w:val="21"/>
                <w:highlight w:val="none"/>
              </w:rPr>
            </w:pPr>
            <w:r>
              <w:rPr>
                <w:rFonts w:hint="eastAsia"/>
                <w:color w:val="auto"/>
                <w:szCs w:val="21"/>
                <w:highlight w:val="none"/>
              </w:rPr>
              <w:t>5</w:t>
            </w:r>
          </w:p>
        </w:tc>
        <w:tc>
          <w:tcPr>
            <w:tcW w:w="2632" w:type="dxa"/>
            <w:vAlign w:val="center"/>
          </w:tcPr>
          <w:p>
            <w:pPr>
              <w:rPr>
                <w:rFonts w:hint="eastAsia"/>
                <w:color w:val="auto"/>
                <w:szCs w:val="21"/>
                <w:highlight w:val="none"/>
              </w:rPr>
            </w:pPr>
            <w:r>
              <w:rPr>
                <w:rFonts w:hint="eastAsia"/>
                <w:color w:val="auto"/>
                <w:szCs w:val="21"/>
                <w:highlight w:val="none"/>
              </w:rPr>
              <w:t>免费升级维护期情况</w:t>
            </w:r>
          </w:p>
          <w:p>
            <w:pPr>
              <w:rPr>
                <w:rFonts w:hint="eastAsia"/>
                <w:color w:val="auto"/>
                <w:szCs w:val="21"/>
                <w:highlight w:val="none"/>
              </w:rPr>
            </w:pPr>
            <w:r>
              <w:rPr>
                <w:rFonts w:hint="eastAsia"/>
                <w:color w:val="auto"/>
                <w:szCs w:val="21"/>
                <w:highlight w:val="none"/>
              </w:rPr>
              <w:t>（6分）</w:t>
            </w:r>
          </w:p>
        </w:tc>
        <w:tc>
          <w:tcPr>
            <w:tcW w:w="5849" w:type="dxa"/>
            <w:vAlign w:val="center"/>
          </w:tcPr>
          <w:p>
            <w:pPr>
              <w:spacing w:line="300" w:lineRule="auto"/>
              <w:rPr>
                <w:rFonts w:hint="eastAsia" w:ascii="宋体" w:hAnsi="宋体"/>
                <w:color w:val="auto"/>
                <w:kern w:val="0"/>
                <w:szCs w:val="21"/>
                <w:highlight w:val="none"/>
              </w:rPr>
            </w:pPr>
            <w:r>
              <w:rPr>
                <w:rFonts w:hint="eastAsia" w:ascii="宋体" w:hAnsi="宋体"/>
                <w:color w:val="auto"/>
                <w:kern w:val="0"/>
                <w:szCs w:val="21"/>
                <w:highlight w:val="none"/>
              </w:rPr>
              <w:t>满足采购要求情况下，免费升级维护期增加1年加3分，最多加6分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7" w:hRule="atLeast"/>
          <w:jc w:val="center"/>
        </w:trPr>
        <w:tc>
          <w:tcPr>
            <w:tcW w:w="920" w:type="dxa"/>
            <w:vAlign w:val="center"/>
          </w:tcPr>
          <w:p>
            <w:pPr>
              <w:spacing w:line="300" w:lineRule="auto"/>
              <w:jc w:val="center"/>
              <w:rPr>
                <w:rFonts w:hint="eastAsia"/>
                <w:color w:val="auto"/>
                <w:szCs w:val="21"/>
                <w:highlight w:val="none"/>
              </w:rPr>
            </w:pPr>
            <w:r>
              <w:rPr>
                <w:rFonts w:hint="eastAsia"/>
                <w:color w:val="auto"/>
                <w:szCs w:val="21"/>
                <w:highlight w:val="none"/>
              </w:rPr>
              <w:t>6</w:t>
            </w:r>
          </w:p>
        </w:tc>
        <w:tc>
          <w:tcPr>
            <w:tcW w:w="2632" w:type="dxa"/>
            <w:vAlign w:val="center"/>
          </w:tcPr>
          <w:p>
            <w:pPr>
              <w:rPr>
                <w:rFonts w:hint="eastAsia"/>
                <w:color w:val="auto"/>
                <w:szCs w:val="21"/>
                <w:highlight w:val="none"/>
              </w:rPr>
            </w:pPr>
            <w:r>
              <w:rPr>
                <w:rFonts w:hint="eastAsia" w:ascii="新宋体" w:hAnsi="新宋体" w:eastAsia="新宋体" w:cs="新宋体"/>
                <w:color w:val="auto"/>
                <w:kern w:val="0"/>
                <w:szCs w:val="21"/>
                <w:highlight w:val="none"/>
              </w:rPr>
              <w:t>其他优惠承诺（2分）</w:t>
            </w:r>
          </w:p>
        </w:tc>
        <w:tc>
          <w:tcPr>
            <w:tcW w:w="5849" w:type="dxa"/>
            <w:vAlign w:val="center"/>
          </w:tcPr>
          <w:p>
            <w:pPr>
              <w:spacing w:line="360" w:lineRule="auto"/>
              <w:rPr>
                <w:rFonts w:hint="eastAsia"/>
                <w:color w:val="auto"/>
                <w:szCs w:val="21"/>
                <w:highlight w:val="none"/>
              </w:rPr>
            </w:pPr>
            <w:r>
              <w:rPr>
                <w:rFonts w:hint="eastAsia" w:ascii="新宋体" w:hAnsi="新宋体" w:eastAsia="新宋体" w:cs="新宋体"/>
                <w:color w:val="auto"/>
                <w:kern w:val="0"/>
                <w:szCs w:val="21"/>
                <w:highlight w:val="none"/>
              </w:rPr>
              <w:t>以优惠程度高低比价打分，无优惠不给分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7" w:hRule="atLeast"/>
          <w:jc w:val="center"/>
        </w:trPr>
        <w:tc>
          <w:tcPr>
            <w:tcW w:w="920" w:type="dxa"/>
            <w:vAlign w:val="center"/>
          </w:tcPr>
          <w:p>
            <w:pPr>
              <w:spacing w:line="300" w:lineRule="auto"/>
              <w:jc w:val="center"/>
              <w:rPr>
                <w:rFonts w:hint="eastAsia"/>
                <w:color w:val="auto"/>
                <w:szCs w:val="21"/>
                <w:highlight w:val="none"/>
              </w:rPr>
            </w:pPr>
            <w:r>
              <w:rPr>
                <w:rFonts w:hint="eastAsia"/>
                <w:color w:val="auto"/>
                <w:szCs w:val="21"/>
                <w:highlight w:val="none"/>
              </w:rPr>
              <w:t>7</w:t>
            </w:r>
          </w:p>
        </w:tc>
        <w:tc>
          <w:tcPr>
            <w:tcW w:w="2632" w:type="dxa"/>
            <w:vAlign w:val="center"/>
          </w:tcPr>
          <w:p>
            <w:pPr>
              <w:rPr>
                <w:rFonts w:hint="eastAsia" w:ascii="新宋体" w:hAnsi="新宋体" w:eastAsia="新宋体" w:cs="新宋体"/>
                <w:color w:val="auto"/>
                <w:kern w:val="0"/>
                <w:szCs w:val="21"/>
                <w:highlight w:val="none"/>
              </w:rPr>
            </w:pPr>
            <w:r>
              <w:rPr>
                <w:rFonts w:hint="eastAsia" w:ascii="宋体" w:hAnsi="宋体"/>
                <w:color w:val="auto"/>
                <w:kern w:val="0"/>
                <w:szCs w:val="21"/>
                <w:highlight w:val="none"/>
              </w:rPr>
              <w:t>质保期满后服务价格及相应服务内容（5分）</w:t>
            </w:r>
          </w:p>
        </w:tc>
        <w:tc>
          <w:tcPr>
            <w:tcW w:w="5849" w:type="dxa"/>
            <w:vAlign w:val="center"/>
          </w:tcPr>
          <w:p>
            <w:pPr>
              <w:spacing w:line="360" w:lineRule="auto"/>
              <w:rPr>
                <w:rFonts w:hint="eastAsia" w:ascii="新宋体" w:hAnsi="新宋体" w:eastAsia="新宋体" w:cs="新宋体"/>
                <w:color w:val="auto"/>
                <w:kern w:val="0"/>
                <w:szCs w:val="21"/>
                <w:highlight w:val="none"/>
              </w:rPr>
            </w:pPr>
            <w:r>
              <w:rPr>
                <w:rFonts w:hint="eastAsia" w:ascii="宋体" w:hAnsi="宋体"/>
                <w:color w:val="auto"/>
                <w:kern w:val="0"/>
                <w:szCs w:val="21"/>
                <w:highlight w:val="none"/>
              </w:rPr>
              <w:t>提供软件系统免费维护期满后的维护与技术支持服务方案并予以报价，服务内容不低于免费维保期服务标准且能保证系统的安全顺利运行。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7" w:hRule="atLeast"/>
          <w:jc w:val="center"/>
        </w:trPr>
        <w:tc>
          <w:tcPr>
            <w:tcW w:w="920" w:type="dxa"/>
            <w:vAlign w:val="center"/>
          </w:tcPr>
          <w:p>
            <w:pPr>
              <w:spacing w:line="300" w:lineRule="auto"/>
              <w:jc w:val="center"/>
              <w:rPr>
                <w:rFonts w:hint="eastAsia"/>
                <w:color w:val="auto"/>
                <w:szCs w:val="21"/>
                <w:highlight w:val="none"/>
              </w:rPr>
            </w:pPr>
            <w:r>
              <w:rPr>
                <w:rFonts w:hint="eastAsia"/>
                <w:color w:val="auto"/>
                <w:szCs w:val="21"/>
                <w:highlight w:val="none"/>
              </w:rPr>
              <w:t>8</w:t>
            </w:r>
          </w:p>
        </w:tc>
        <w:tc>
          <w:tcPr>
            <w:tcW w:w="2632" w:type="dxa"/>
            <w:vAlign w:val="center"/>
          </w:tcPr>
          <w:p>
            <w:pPr>
              <w:rPr>
                <w:rFonts w:hint="eastAsia" w:ascii="宋体" w:hAnsi="宋体"/>
                <w:color w:val="auto"/>
                <w:kern w:val="0"/>
                <w:szCs w:val="21"/>
                <w:highlight w:val="none"/>
              </w:rPr>
            </w:pPr>
            <w:r>
              <w:rPr>
                <w:rFonts w:hint="eastAsia" w:ascii="新宋体" w:hAnsi="新宋体" w:eastAsia="新宋体" w:cs="新宋体"/>
                <w:b/>
                <w:color w:val="auto"/>
                <w:kern w:val="0"/>
                <w:szCs w:val="21"/>
                <w:highlight w:val="none"/>
              </w:rPr>
              <w:t>软件产品现场案例演示及答辩（25分）</w:t>
            </w:r>
          </w:p>
        </w:tc>
        <w:tc>
          <w:tcPr>
            <w:tcW w:w="5849" w:type="dxa"/>
            <w:vAlign w:val="center"/>
          </w:tcPr>
          <w:p>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演示内容主要包含但不仅限于以下内容：</w:t>
            </w:r>
          </w:p>
          <w:p>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1）院科全成本核算系统及院科效益核算系统模块的完整性、符合性、先进性等，由评标委员会成员横向对比打分（0-15分）</w:t>
            </w:r>
          </w:p>
          <w:p>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2）软件系统整体架构的符合程度，由评标委员会成员横向对比打分（0-10分）。</w:t>
            </w:r>
          </w:p>
        </w:tc>
      </w:tr>
    </w:tbl>
    <w:p>
      <w:pPr>
        <w:spacing w:line="360" w:lineRule="auto"/>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（二）、价格评分</w:t>
      </w:r>
    </w:p>
    <w:p>
      <w:pPr>
        <w:spacing w:line="360" w:lineRule="auto"/>
        <w:ind w:firstLine="442" w:firstLineChars="200"/>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1、政策功能的评标价格扣除</w:t>
      </w:r>
    </w:p>
    <w:p>
      <w:pPr>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（1）“评标价格”是指符合相关政策要求，按一定比例对投标报价进行政策功能的扣除后，仅用作价格分评分的价格（中标价及合同价仍以其投标报价为准）。</w:t>
      </w:r>
    </w:p>
    <w:p>
      <w:pPr>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（2）投标供应商为小微（或监狱</w:t>
      </w:r>
      <w:r>
        <w:rPr>
          <w:rFonts w:hint="eastAsia" w:ascii="新宋体" w:hAnsi="新宋体" w:eastAsia="新宋体" w:cs="新宋体"/>
          <w:bCs/>
          <w:color w:val="auto"/>
          <w:kern w:val="0"/>
          <w:sz w:val="22"/>
          <w:szCs w:val="22"/>
          <w:highlight w:val="none"/>
        </w:rPr>
        <w:t>或残疾人福利性单位</w:t>
      </w:r>
      <w:r>
        <w:rPr>
          <w:rFonts w:hint="eastAsia" w:ascii="新宋体" w:hAnsi="新宋体" w:eastAsia="新宋体" w:cs="新宋体"/>
          <w:color w:val="auto"/>
          <w:sz w:val="22"/>
          <w:szCs w:val="22"/>
          <w:highlight w:val="none"/>
        </w:rPr>
        <w:t>）企业且提供的是本企业或其他小微（或监狱</w:t>
      </w:r>
      <w:r>
        <w:rPr>
          <w:rFonts w:hint="eastAsia" w:ascii="新宋体" w:hAnsi="新宋体" w:eastAsia="新宋体" w:cs="新宋体"/>
          <w:bCs/>
          <w:color w:val="auto"/>
          <w:kern w:val="0"/>
          <w:sz w:val="22"/>
          <w:szCs w:val="22"/>
          <w:highlight w:val="none"/>
        </w:rPr>
        <w:t>或残疾人福利性单位</w:t>
      </w:r>
      <w:r>
        <w:rPr>
          <w:rFonts w:hint="eastAsia" w:ascii="新宋体" w:hAnsi="新宋体" w:eastAsia="新宋体" w:cs="新宋体"/>
          <w:color w:val="auto"/>
          <w:sz w:val="22"/>
          <w:szCs w:val="22"/>
          <w:highlight w:val="none"/>
        </w:rPr>
        <w:t>）企业制造的货物、承担的工程或者服务，其评标价格为投标报价扣除6%，即投标报价×94%；</w:t>
      </w:r>
    </w:p>
    <w:p>
      <w:pPr>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（3）证明材料提供不全或无法证明的视为不符合政策功能的评标价格扣除要求，将不予评标价格的扣除。</w:t>
      </w:r>
    </w:p>
    <w:p>
      <w:pPr>
        <w:spacing w:line="3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2、商务评分（30分）：</w:t>
      </w:r>
    </w:p>
    <w:p>
      <w:pPr>
        <w:spacing w:line="400" w:lineRule="exact"/>
        <w:ind w:firstLine="330" w:firstLineChars="150"/>
        <w:rPr>
          <w:rFonts w:hint="eastAsia" w:ascii="新宋体" w:hAnsi="新宋体" w:eastAsia="新宋体" w:cs="新宋体"/>
          <w:color w:val="auto"/>
          <w:sz w:val="22"/>
          <w:szCs w:val="22"/>
          <w:highlight w:val="none"/>
          <w:lang w:bidi="he-IL"/>
        </w:rPr>
      </w:pPr>
      <w:r>
        <w:rPr>
          <w:rFonts w:hint="eastAsia" w:ascii="新宋体" w:hAnsi="新宋体" w:eastAsia="新宋体" w:cs="新宋体"/>
          <w:color w:val="auto"/>
          <w:sz w:val="22"/>
          <w:highlight w:val="none"/>
        </w:rPr>
        <w:t>满足竞争性磋商文件要求且最终报价（或政策功能扣除后的评标价格）的最低价作为评标基准价；</w:t>
      </w:r>
    </w:p>
    <w:p>
      <w:pPr>
        <w:spacing w:line="400" w:lineRule="exact"/>
        <w:ind w:firstLine="330" w:firstLineChars="1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1）有效供应商的最终报价等于评标基准价时，其最终报价评分值为满分30分；</w:t>
      </w:r>
    </w:p>
    <w:p>
      <w:pPr>
        <w:spacing w:line="400" w:lineRule="exact"/>
        <w:ind w:firstLine="330" w:firstLineChars="1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2）其他供应商的价格分按以下公式计算：</w:t>
      </w:r>
    </w:p>
    <w:p>
      <w:pPr>
        <w:spacing w:line="400" w:lineRule="exact"/>
        <w:ind w:left="657" w:leftChars="313"/>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商务分得分=（评审基准价/供应商最终报价）×价格权值×100（四舍五入后保留小数2位，价格权值为30%）</w:t>
      </w:r>
    </w:p>
    <w:p>
      <w:pPr>
        <w:spacing w:line="40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3）如供应商报价超过项目采购预算金额，其磋商响应文件作无效标处理。</w:t>
      </w:r>
    </w:p>
    <w:p>
      <w:pPr>
        <w:topLinePunct/>
        <w:spacing w:line="40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4）所有供应商商务报价均超过项目采购预算金额，项目按流（废）标处理，重新组织采购程序。</w:t>
      </w:r>
    </w:p>
    <w:p>
      <w:pPr>
        <w:topLinePunct/>
        <w:spacing w:line="400" w:lineRule="exact"/>
        <w:ind w:firstLine="316" w:firstLineChars="150"/>
        <w:rPr>
          <w:rFonts w:hint="eastAsia" w:ascii="新宋体" w:hAnsi="新宋体" w:eastAsia="新宋体" w:cs="新宋体"/>
          <w:b/>
          <w:color w:val="auto"/>
          <w:kern w:val="0"/>
          <w:szCs w:val="21"/>
          <w:highlight w:val="none"/>
        </w:rPr>
      </w:pPr>
      <w:r>
        <w:rPr>
          <w:rFonts w:hint="eastAsia" w:ascii="新宋体" w:hAnsi="新宋体" w:eastAsia="新宋体" w:cs="新宋体"/>
          <w:b/>
          <w:color w:val="auto"/>
          <w:kern w:val="0"/>
          <w:szCs w:val="21"/>
          <w:highlight w:val="none"/>
        </w:rPr>
        <w:t>5) 本项目采购预算金额为</w:t>
      </w:r>
      <w:r>
        <w:rPr>
          <w:rFonts w:hint="eastAsia" w:ascii="新宋体" w:hAnsi="新宋体" w:eastAsia="新宋体" w:cs="新宋体"/>
          <w:b/>
          <w:color w:val="auto"/>
          <w:kern w:val="0"/>
          <w:szCs w:val="21"/>
          <w:highlight w:val="none"/>
          <w:u w:val="single"/>
        </w:rPr>
        <w:t>20</w:t>
      </w:r>
      <w:r>
        <w:rPr>
          <w:rFonts w:hint="eastAsia" w:ascii="新宋体" w:hAnsi="新宋体" w:eastAsia="新宋体" w:cs="新宋体"/>
          <w:b/>
          <w:color w:val="auto"/>
          <w:kern w:val="0"/>
          <w:szCs w:val="21"/>
          <w:highlight w:val="none"/>
        </w:rPr>
        <w:t>万元。</w:t>
      </w:r>
    </w:p>
    <w:p>
      <w:pPr>
        <w:spacing w:line="3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有效供应商的综合得分为技术分、资信分和商务（报价）分的总和。</w:t>
      </w:r>
    </w:p>
    <w:p>
      <w:pPr>
        <w:topLinePunct/>
        <w:spacing w:line="400" w:lineRule="exact"/>
        <w:rPr>
          <w:rFonts w:hint="eastAsia" w:ascii="新宋体" w:hAnsi="新宋体" w:eastAsia="新宋体" w:cs="新宋体"/>
          <w:b/>
          <w:color w:val="auto"/>
          <w:kern w:val="0"/>
          <w:szCs w:val="21"/>
          <w:highlight w:val="none"/>
        </w:rPr>
      </w:pPr>
      <w:r>
        <w:rPr>
          <w:rFonts w:hint="eastAsia" w:ascii="新宋体" w:hAnsi="新宋体" w:eastAsia="新宋体" w:cs="新宋体"/>
          <w:color w:val="auto"/>
          <w:sz w:val="22"/>
          <w:szCs w:val="22"/>
          <w:highlight w:val="none"/>
        </w:rPr>
        <w:t>4、 磋商小组按综合得分高低顺序排列，综合得分前两名供应商依次作为第一中标候选人和第二中标候选人向采购人推荐，并提交评审报告。得分相同的，按投标报价由低到高顺序排列。</w:t>
      </w:r>
    </w:p>
    <w:bookmarkEnd w:id="49"/>
    <w:bookmarkEnd w:id="50"/>
    <w:p>
      <w:pPr>
        <w:pStyle w:val="15"/>
        <w:spacing w:beforeLines="50" w:afterLines="50" w:line="360" w:lineRule="exact"/>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 xml:space="preserve">五、定标办法 </w:t>
      </w:r>
    </w:p>
    <w:p>
      <w:pPr>
        <w:spacing w:line="45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1、本次采购由采购人确定成交供应商。</w:t>
      </w:r>
    </w:p>
    <w:p>
      <w:pPr>
        <w:spacing w:line="45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2、采购人根据相关规则在推荐的两名成交候选供应商中选定总分排名第一供应商为成交供应商。</w:t>
      </w:r>
    </w:p>
    <w:p>
      <w:pPr>
        <w:spacing w:line="45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3、成交供应商有以下情况的，则采购人有权决定是否将其成交资格转交总分排名第二的候选供应商：</w:t>
      </w:r>
    </w:p>
    <w:p>
      <w:pPr>
        <w:tabs>
          <w:tab w:val="left" w:pos="540"/>
        </w:tabs>
        <w:autoSpaceDE w:val="0"/>
        <w:autoSpaceDN w:val="0"/>
        <w:adjustRightInd w:val="0"/>
        <w:spacing w:line="440" w:lineRule="atLeast"/>
        <w:ind w:left="567"/>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1）成交供应商主动放弃成交资格；</w:t>
      </w:r>
    </w:p>
    <w:p>
      <w:pPr>
        <w:tabs>
          <w:tab w:val="left" w:pos="540"/>
        </w:tabs>
        <w:autoSpaceDE w:val="0"/>
        <w:autoSpaceDN w:val="0"/>
        <w:adjustRightInd w:val="0"/>
        <w:spacing w:line="440" w:lineRule="atLeast"/>
        <w:ind w:left="567"/>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2）成交供应商因不可抗力提出不能履行合同；</w:t>
      </w:r>
    </w:p>
    <w:p>
      <w:pPr>
        <w:tabs>
          <w:tab w:val="left" w:pos="540"/>
        </w:tabs>
        <w:autoSpaceDE w:val="0"/>
        <w:autoSpaceDN w:val="0"/>
        <w:adjustRightInd w:val="0"/>
        <w:spacing w:line="440" w:lineRule="atLeast"/>
        <w:ind w:left="567"/>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3）成交供应商未能在规定的期限内提交履约保证金；</w:t>
      </w:r>
    </w:p>
    <w:p>
      <w:pPr>
        <w:tabs>
          <w:tab w:val="left" w:pos="540"/>
        </w:tabs>
        <w:autoSpaceDE w:val="0"/>
        <w:autoSpaceDN w:val="0"/>
        <w:adjustRightInd w:val="0"/>
        <w:spacing w:line="440" w:lineRule="atLeast"/>
        <w:ind w:left="567"/>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4）成交供应商未能在规定时间内与采购人签订合同；</w:t>
      </w:r>
    </w:p>
    <w:p>
      <w:pPr>
        <w:tabs>
          <w:tab w:val="left" w:pos="540"/>
        </w:tabs>
        <w:autoSpaceDE w:val="0"/>
        <w:autoSpaceDN w:val="0"/>
        <w:adjustRightInd w:val="0"/>
        <w:spacing w:line="440" w:lineRule="atLeast"/>
        <w:ind w:left="567"/>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5）经质疑，采购人审查后，成交供应商确实在本次采购活动中存在违法违规行为或其他原因使质疑成立的。</w:t>
      </w:r>
    </w:p>
    <w:p>
      <w:pPr>
        <w:pStyle w:val="15"/>
        <w:spacing w:beforeLines="50" w:afterLines="50" w:line="360" w:lineRule="exact"/>
        <w:rPr>
          <w:rFonts w:hint="eastAsia" w:ascii="新宋体" w:hAnsi="新宋体" w:eastAsia="新宋体" w:cs="新宋体"/>
          <w:b/>
          <w:color w:val="auto"/>
          <w:highlight w:val="none"/>
        </w:rPr>
      </w:pPr>
      <w:bookmarkStart w:id="55" w:name="_Toc221356967"/>
      <w:bookmarkStart w:id="56" w:name="_Toc221356904"/>
      <w:r>
        <w:rPr>
          <w:rFonts w:hint="eastAsia" w:ascii="新宋体" w:hAnsi="新宋体" w:eastAsia="新宋体" w:cs="新宋体"/>
          <w:b/>
          <w:color w:val="auto"/>
          <w:highlight w:val="none"/>
        </w:rPr>
        <w:t>六、确定</w:t>
      </w:r>
      <w:bookmarkEnd w:id="55"/>
      <w:bookmarkEnd w:id="56"/>
      <w:r>
        <w:rPr>
          <w:rFonts w:hint="eastAsia" w:ascii="新宋体" w:hAnsi="新宋体" w:eastAsia="新宋体" w:cs="新宋体"/>
          <w:b/>
          <w:color w:val="auto"/>
          <w:highlight w:val="none"/>
        </w:rPr>
        <w:t>成交供应商</w:t>
      </w:r>
    </w:p>
    <w:p>
      <w:pPr>
        <w:pStyle w:val="15"/>
        <w:spacing w:beforeLines="50" w:afterLines="50" w:line="360" w:lineRule="exact"/>
        <w:rPr>
          <w:rFonts w:hint="eastAsia" w:ascii="新宋体" w:hAnsi="新宋体" w:eastAsia="新宋体" w:cs="新宋体"/>
          <w:color w:val="auto"/>
          <w:sz w:val="22"/>
          <w:szCs w:val="22"/>
          <w:highlight w:val="none"/>
        </w:rPr>
      </w:pPr>
      <w:bookmarkStart w:id="57" w:name="_Toc221356968"/>
      <w:bookmarkStart w:id="58" w:name="_Toc221356905"/>
      <w:r>
        <w:rPr>
          <w:rFonts w:hint="eastAsia" w:ascii="新宋体" w:hAnsi="新宋体" w:eastAsia="新宋体" w:cs="新宋体"/>
          <w:color w:val="auto"/>
          <w:sz w:val="22"/>
          <w:szCs w:val="22"/>
          <w:highlight w:val="none"/>
        </w:rPr>
        <w:t xml:space="preserve">    评审结束后，采购人将在采购指定信息发布媒体上公示中标结果。公示期结束，且在规定期限内无异议则招标机构将向成交供应商发出中标（成交）通知书。</w:t>
      </w:r>
    </w:p>
    <w:p>
      <w:pPr>
        <w:pStyle w:val="15"/>
        <w:spacing w:beforeLines="50" w:afterLines="50" w:line="360" w:lineRule="exact"/>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七、供应商义务</w:t>
      </w:r>
      <w:bookmarkEnd w:id="57"/>
      <w:bookmarkEnd w:id="58"/>
    </w:p>
    <w:p>
      <w:pPr>
        <w:pStyle w:val="15"/>
        <w:spacing w:beforeLines="50" w:afterLines="50" w:line="3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供应商应随时接受磋商小组的询标，解答包括有关的商务、技术问题等。评审结束，所有评审资料存招标机构备查。</w:t>
      </w:r>
    </w:p>
    <w:p>
      <w:pPr>
        <w:pStyle w:val="2"/>
        <w:ind w:firstLine="441"/>
        <w:rPr>
          <w:rFonts w:hint="eastAsia" w:ascii="新宋体" w:hAnsi="新宋体" w:eastAsia="新宋体" w:cs="新宋体"/>
          <w:color w:val="auto"/>
          <w:sz w:val="22"/>
          <w:szCs w:val="22"/>
          <w:highlight w:val="none"/>
        </w:rPr>
      </w:pPr>
    </w:p>
    <w:p>
      <w:pPr>
        <w:pStyle w:val="2"/>
        <w:ind w:firstLine="44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pPr>
        <w:pStyle w:val="2"/>
        <w:rPr>
          <w:rFonts w:hint="eastAsia" w:ascii="新宋体" w:hAnsi="新宋体" w:eastAsia="新宋体" w:cs="新宋体"/>
          <w:color w:val="auto"/>
          <w:sz w:val="36"/>
          <w:szCs w:val="36"/>
          <w:highlight w:val="none"/>
        </w:rPr>
      </w:pPr>
      <w:bookmarkStart w:id="59" w:name="_Toc508785489"/>
      <w:r>
        <w:rPr>
          <w:rFonts w:hint="eastAsia" w:ascii="新宋体" w:hAnsi="新宋体" w:eastAsia="新宋体" w:cs="新宋体"/>
          <w:color w:val="auto"/>
          <w:sz w:val="36"/>
          <w:szCs w:val="36"/>
          <w:highlight w:val="none"/>
        </w:rPr>
        <w:t xml:space="preserve">第四部分   </w:t>
      </w:r>
      <w:bookmarkEnd w:id="59"/>
      <w:bookmarkStart w:id="60" w:name="_Toc508785490"/>
      <w:bookmarkStart w:id="61" w:name="_Toc241404206"/>
      <w:bookmarkStart w:id="62" w:name="_Toc221356891"/>
      <w:bookmarkStart w:id="63" w:name="_Toc223716002"/>
      <w:bookmarkStart w:id="64" w:name="_Toc222114883"/>
      <w:bookmarkStart w:id="65" w:name="_Toc144974578"/>
      <w:bookmarkStart w:id="66" w:name="_Toc179632628"/>
      <w:bookmarkStart w:id="67" w:name="_Toc246996996"/>
      <w:bookmarkStart w:id="68" w:name="_Toc296602498"/>
      <w:bookmarkStart w:id="69" w:name="_Toc152045610"/>
      <w:bookmarkStart w:id="70" w:name="_Toc247085768"/>
      <w:bookmarkStart w:id="71" w:name="_Toc246996253"/>
      <w:bookmarkStart w:id="72" w:name="_Toc152042388"/>
      <w:bookmarkStart w:id="73" w:name="_Toc221423623"/>
      <w:bookmarkStart w:id="74" w:name="_Toc221374630"/>
      <w:bookmarkStart w:id="75" w:name="_Toc239145358"/>
      <w:bookmarkStart w:id="76" w:name="_Toc221356955"/>
      <w:bookmarkStart w:id="77" w:name="_Toc265529387"/>
      <w:r>
        <w:rPr>
          <w:rFonts w:hint="eastAsia" w:ascii="新宋体" w:hAnsi="新宋体" w:eastAsia="新宋体" w:cs="新宋体"/>
          <w:color w:val="auto"/>
          <w:sz w:val="36"/>
          <w:szCs w:val="36"/>
          <w:highlight w:val="none"/>
        </w:rPr>
        <w:t>合同条款</w:t>
      </w:r>
    </w:p>
    <w:p>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说明：如甲、乙双方同意，合同格式也可以按照其他形式。但合同条款的基本内容应与《中标合同》要求的内容相一致。</w:t>
      </w:r>
    </w:p>
    <w:p>
      <w:pPr>
        <w:spacing w:line="360" w:lineRule="auto"/>
        <w:ind w:firstLine="424" w:firstLineChars="19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甲方（采购人）：温州医科大学附属口腔医院 </w:t>
      </w:r>
    </w:p>
    <w:p>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乙方（中标供应商）： </w:t>
      </w:r>
    </w:p>
    <w:p>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依照《中华人民共和国合同法》等法律法规，经甲乙双方协商一致签订本合同。 </w:t>
      </w:r>
    </w:p>
    <w:p>
      <w:pPr>
        <w:spacing w:line="360" w:lineRule="auto"/>
        <w:rPr>
          <w:rFonts w:hint="eastAsia" w:ascii="新宋体" w:hAnsi="新宋体" w:eastAsia="新宋体" w:cs="新宋体"/>
          <w:color w:val="auto"/>
          <w:sz w:val="22"/>
          <w:highlight w:val="none"/>
        </w:rPr>
      </w:pPr>
      <w:r>
        <w:rPr>
          <w:rFonts w:hint="eastAsia" w:ascii="新宋体" w:hAnsi="新宋体" w:eastAsia="新宋体" w:cs="新宋体"/>
          <w:b/>
          <w:color w:val="auto"/>
          <w:sz w:val="22"/>
          <w:highlight w:val="none"/>
        </w:rPr>
        <w:t>1、合同内容</w:t>
      </w:r>
      <w:r>
        <w:rPr>
          <w:rFonts w:hint="eastAsia" w:ascii="新宋体" w:hAnsi="新宋体" w:eastAsia="新宋体" w:cs="新宋体"/>
          <w:color w:val="auto"/>
          <w:sz w:val="22"/>
          <w:highlight w:val="none"/>
        </w:rPr>
        <w:t>：依据招标文件及</w:t>
      </w:r>
      <w:r>
        <w:rPr>
          <w:rFonts w:hint="eastAsia" w:ascii="新宋体" w:hAnsi="新宋体" w:eastAsia="新宋体" w:cs="新宋体"/>
          <w:color w:val="auto"/>
          <w:kern w:val="0"/>
          <w:sz w:val="22"/>
          <w:szCs w:val="22"/>
          <w:highlight w:val="none"/>
          <w:lang w:val="zh-CN"/>
        </w:rPr>
        <w:t>采购人</w:t>
      </w:r>
      <w:r>
        <w:rPr>
          <w:rFonts w:hint="eastAsia" w:ascii="新宋体" w:hAnsi="新宋体" w:eastAsia="新宋体" w:cs="新宋体"/>
          <w:color w:val="auto"/>
          <w:sz w:val="22"/>
          <w:highlight w:val="none"/>
        </w:rPr>
        <w:t>规定的服务内容。</w:t>
      </w:r>
    </w:p>
    <w:p>
      <w:pPr>
        <w:spacing w:line="360" w:lineRule="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2、合同价格</w:t>
      </w:r>
    </w:p>
    <w:p>
      <w:pPr>
        <w:spacing w:line="360" w:lineRule="auto"/>
        <w:ind w:left="105" w:leftChars="50"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本合同总价为人民币</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万元。</w:t>
      </w:r>
      <w:r>
        <w:rPr>
          <w:rFonts w:hint="eastAsia" w:ascii="新宋体" w:hAnsi="新宋体" w:eastAsia="新宋体" w:cs="新宋体"/>
          <w:b/>
          <w:bCs/>
          <w:color w:val="auto"/>
          <w:sz w:val="22"/>
          <w:szCs w:val="22"/>
          <w:highlight w:val="none"/>
        </w:rPr>
        <w:t>“合同总价”是指根据本合同规定，乙方在正确地完全履行合同义务后甲方应支付给乙方的价款。即系统软件平台的建立、调试、运行、维护/升级费用、税金等完成本项目所需的人工费以及招标代理服务费等全部费用，实行固定费用总包干</w:t>
      </w:r>
      <w:r>
        <w:rPr>
          <w:rFonts w:hint="eastAsia" w:ascii="新宋体" w:hAnsi="新宋体" w:eastAsia="新宋体" w:cs="新宋体"/>
          <w:b/>
          <w:color w:val="auto"/>
          <w:sz w:val="22"/>
          <w:szCs w:val="22"/>
          <w:highlight w:val="none"/>
        </w:rPr>
        <w:t>。</w:t>
      </w:r>
    </w:p>
    <w:p>
      <w:pPr>
        <w:spacing w:line="360" w:lineRule="auto"/>
        <w:rPr>
          <w:rFonts w:hint="eastAsia" w:ascii="新宋体" w:hAnsi="新宋体" w:eastAsia="新宋体" w:cs="新宋体"/>
          <w:color w:val="auto"/>
          <w:sz w:val="22"/>
          <w:highlight w:val="none"/>
        </w:rPr>
      </w:pPr>
      <w:r>
        <w:rPr>
          <w:rFonts w:hint="eastAsia" w:ascii="新宋体" w:hAnsi="新宋体" w:eastAsia="新宋体" w:cs="新宋体"/>
          <w:b/>
          <w:color w:val="auto"/>
          <w:sz w:val="22"/>
          <w:highlight w:val="none"/>
        </w:rPr>
        <w:t xml:space="preserve">3、项目实施时间： </w:t>
      </w:r>
    </w:p>
    <w:p>
      <w:pPr>
        <w:tabs>
          <w:tab w:val="left" w:pos="379"/>
        </w:tabs>
        <w:spacing w:line="360" w:lineRule="auto"/>
        <w:ind w:left="325" w:firstLine="221" w:firstLineChars="10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szCs w:val="22"/>
          <w:highlight w:val="none"/>
        </w:rPr>
        <w:t>合同签订后三个月内完成系统安装、调试及上线运行工作。</w:t>
      </w:r>
    </w:p>
    <w:p>
      <w:pPr>
        <w:spacing w:line="360" w:lineRule="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4、合同说明</w:t>
      </w:r>
    </w:p>
    <w:p>
      <w:pPr>
        <w:spacing w:line="360" w:lineRule="auto"/>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甲、乙双方经过协商，就甲方希望获得乙方开发、生产的软件达成以下合同。</w:t>
      </w:r>
    </w:p>
    <w:p>
      <w:pPr>
        <w:spacing w:line="360" w:lineRule="auto"/>
        <w:rPr>
          <w:rFonts w:hint="eastAsia" w:ascii="新宋体" w:hAnsi="新宋体" w:eastAsia="新宋体" w:cs="新宋体"/>
          <w:color w:val="auto"/>
          <w:sz w:val="22"/>
          <w:highlight w:val="none"/>
        </w:rPr>
      </w:pPr>
      <w:r>
        <w:rPr>
          <w:rFonts w:hint="eastAsia" w:ascii="新宋体" w:hAnsi="新宋体" w:eastAsia="新宋体" w:cs="新宋体"/>
          <w:b/>
          <w:color w:val="auto"/>
          <w:sz w:val="22"/>
          <w:highlight w:val="none"/>
        </w:rPr>
        <w:t>5、软件清单</w:t>
      </w:r>
    </w:p>
    <w:tbl>
      <w:tblPr>
        <w:tblStyle w:val="6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977"/>
        <w:gridCol w:w="1984"/>
        <w:gridCol w:w="1866"/>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2977"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软件名称</w:t>
            </w:r>
          </w:p>
        </w:tc>
        <w:tc>
          <w:tcPr>
            <w:tcW w:w="1984"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版本号</w:t>
            </w:r>
          </w:p>
        </w:tc>
        <w:tc>
          <w:tcPr>
            <w:tcW w:w="1866"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单价</w:t>
            </w:r>
          </w:p>
        </w:tc>
        <w:tc>
          <w:tcPr>
            <w:tcW w:w="1643" w:type="dxa"/>
            <w:vAlign w:val="center"/>
          </w:tcPr>
          <w:p>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vAlign w:val="center"/>
          </w:tcPr>
          <w:p>
            <w:pPr>
              <w:spacing w:line="360" w:lineRule="auto"/>
              <w:ind w:firstLine="330" w:firstLineChars="150"/>
              <w:jc w:val="center"/>
              <w:rPr>
                <w:rFonts w:hint="eastAsia" w:ascii="新宋体" w:hAnsi="新宋体" w:eastAsia="新宋体" w:cs="新宋体"/>
                <w:color w:val="auto"/>
                <w:sz w:val="22"/>
                <w:highlight w:val="none"/>
              </w:rPr>
            </w:pPr>
          </w:p>
        </w:tc>
        <w:tc>
          <w:tcPr>
            <w:tcW w:w="2977" w:type="dxa"/>
            <w:vAlign w:val="center"/>
          </w:tcPr>
          <w:p>
            <w:pPr>
              <w:spacing w:line="360" w:lineRule="auto"/>
              <w:ind w:firstLine="330" w:firstLineChars="150"/>
              <w:jc w:val="center"/>
              <w:rPr>
                <w:rFonts w:hint="eastAsia" w:ascii="新宋体" w:hAnsi="新宋体" w:eastAsia="新宋体" w:cs="新宋体"/>
                <w:color w:val="auto"/>
                <w:sz w:val="22"/>
                <w:highlight w:val="none"/>
              </w:rPr>
            </w:pPr>
          </w:p>
        </w:tc>
        <w:tc>
          <w:tcPr>
            <w:tcW w:w="1984" w:type="dxa"/>
            <w:vAlign w:val="center"/>
          </w:tcPr>
          <w:p>
            <w:pPr>
              <w:spacing w:line="360" w:lineRule="auto"/>
              <w:ind w:firstLine="330" w:firstLineChars="150"/>
              <w:jc w:val="center"/>
              <w:rPr>
                <w:rFonts w:hint="eastAsia" w:ascii="新宋体" w:hAnsi="新宋体" w:eastAsia="新宋体" w:cs="新宋体"/>
                <w:color w:val="auto"/>
                <w:sz w:val="22"/>
                <w:highlight w:val="none"/>
              </w:rPr>
            </w:pPr>
          </w:p>
        </w:tc>
        <w:tc>
          <w:tcPr>
            <w:tcW w:w="1866" w:type="dxa"/>
            <w:vAlign w:val="center"/>
          </w:tcPr>
          <w:p>
            <w:pPr>
              <w:spacing w:line="360" w:lineRule="auto"/>
              <w:ind w:firstLine="330" w:firstLineChars="150"/>
              <w:jc w:val="center"/>
              <w:rPr>
                <w:rFonts w:hint="eastAsia" w:ascii="新宋体" w:hAnsi="新宋体" w:eastAsia="新宋体" w:cs="新宋体"/>
                <w:color w:val="auto"/>
                <w:sz w:val="22"/>
                <w:highlight w:val="none"/>
              </w:rPr>
            </w:pPr>
          </w:p>
        </w:tc>
        <w:tc>
          <w:tcPr>
            <w:tcW w:w="1643" w:type="dxa"/>
            <w:vAlign w:val="center"/>
          </w:tcPr>
          <w:p>
            <w:pPr>
              <w:spacing w:line="360" w:lineRule="auto"/>
              <w:ind w:firstLine="330" w:firstLineChars="150"/>
              <w:jc w:val="center"/>
              <w:rPr>
                <w:rFonts w:hint="eastAsia" w:ascii="新宋体" w:hAnsi="新宋体" w:eastAsia="新宋体" w:cs="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Pr>
          <w:p>
            <w:pPr>
              <w:spacing w:line="360" w:lineRule="auto"/>
              <w:ind w:firstLine="330" w:firstLineChars="150"/>
              <w:rPr>
                <w:rFonts w:hint="eastAsia" w:ascii="新宋体" w:hAnsi="新宋体" w:eastAsia="新宋体" w:cs="新宋体"/>
                <w:color w:val="auto"/>
                <w:sz w:val="22"/>
                <w:highlight w:val="none"/>
              </w:rPr>
            </w:pPr>
          </w:p>
        </w:tc>
        <w:tc>
          <w:tcPr>
            <w:tcW w:w="2977" w:type="dxa"/>
          </w:tcPr>
          <w:p>
            <w:pPr>
              <w:spacing w:line="360" w:lineRule="auto"/>
              <w:ind w:firstLine="330" w:firstLineChars="150"/>
              <w:rPr>
                <w:rFonts w:hint="eastAsia" w:ascii="新宋体" w:hAnsi="新宋体" w:eastAsia="新宋体" w:cs="新宋体"/>
                <w:color w:val="auto"/>
                <w:sz w:val="22"/>
                <w:highlight w:val="none"/>
              </w:rPr>
            </w:pPr>
          </w:p>
        </w:tc>
        <w:tc>
          <w:tcPr>
            <w:tcW w:w="1984" w:type="dxa"/>
          </w:tcPr>
          <w:p>
            <w:pPr>
              <w:spacing w:line="360" w:lineRule="auto"/>
              <w:ind w:firstLine="330" w:firstLineChars="150"/>
              <w:rPr>
                <w:rFonts w:hint="eastAsia" w:ascii="新宋体" w:hAnsi="新宋体" w:eastAsia="新宋体" w:cs="新宋体"/>
                <w:color w:val="auto"/>
                <w:sz w:val="22"/>
                <w:highlight w:val="none"/>
              </w:rPr>
            </w:pPr>
          </w:p>
        </w:tc>
        <w:tc>
          <w:tcPr>
            <w:tcW w:w="1866" w:type="dxa"/>
          </w:tcPr>
          <w:p>
            <w:pPr>
              <w:spacing w:line="360" w:lineRule="auto"/>
              <w:ind w:firstLine="330" w:firstLineChars="150"/>
              <w:rPr>
                <w:rFonts w:hint="eastAsia" w:ascii="新宋体" w:hAnsi="新宋体" w:eastAsia="新宋体" w:cs="新宋体"/>
                <w:color w:val="auto"/>
                <w:sz w:val="22"/>
                <w:highlight w:val="none"/>
              </w:rPr>
            </w:pPr>
          </w:p>
        </w:tc>
        <w:tc>
          <w:tcPr>
            <w:tcW w:w="1643" w:type="dxa"/>
          </w:tcPr>
          <w:p>
            <w:pPr>
              <w:spacing w:line="360" w:lineRule="auto"/>
              <w:ind w:firstLine="330" w:firstLineChars="150"/>
              <w:rPr>
                <w:rFonts w:hint="eastAsia" w:ascii="新宋体" w:hAnsi="新宋体" w:eastAsia="新宋体" w:cs="新宋体"/>
                <w:color w:val="auto"/>
                <w:sz w:val="22"/>
                <w:highlight w:val="none"/>
              </w:rPr>
            </w:pPr>
          </w:p>
        </w:tc>
      </w:tr>
    </w:tbl>
    <w:p>
      <w:pPr>
        <w:spacing w:line="360" w:lineRule="auto"/>
        <w:rPr>
          <w:rFonts w:hint="eastAsia" w:ascii="新宋体" w:hAnsi="新宋体" w:eastAsia="新宋体" w:cs="新宋体"/>
          <w:color w:val="auto"/>
          <w:sz w:val="22"/>
          <w:highlight w:val="none"/>
        </w:rPr>
      </w:pPr>
      <w:r>
        <w:rPr>
          <w:rFonts w:hint="eastAsia" w:ascii="新宋体" w:hAnsi="新宋体" w:eastAsia="新宋体" w:cs="新宋体"/>
          <w:b/>
          <w:color w:val="auto"/>
          <w:sz w:val="22"/>
          <w:highlight w:val="none"/>
        </w:rPr>
        <w:t>6、</w:t>
      </w:r>
      <w:r>
        <w:rPr>
          <w:rFonts w:hint="eastAsia" w:ascii="新宋体" w:hAnsi="新宋体" w:eastAsia="新宋体" w:cs="新宋体"/>
          <w:color w:val="auto"/>
          <w:sz w:val="22"/>
          <w:highlight w:val="none"/>
        </w:rPr>
        <w:t>费用支付。</w:t>
      </w:r>
    </w:p>
    <w:p>
      <w:pPr>
        <w:widowControl/>
        <w:snapToGrid w:val="0"/>
        <w:spacing w:line="360" w:lineRule="auto"/>
        <w:ind w:left="1083" w:leftChars="200" w:hanging="663" w:hangingChars="300"/>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第一笔款：买方在产品供应齐全且完成设备安装调试、项目设计开发、实施完成，项目终验合格后30个工作日内，向卖方支付合同总价的90%</w:t>
      </w:r>
      <w:r>
        <w:rPr>
          <w:rFonts w:hint="eastAsia" w:ascii="新宋体" w:hAnsi="新宋体" w:eastAsia="新宋体" w:cs="新宋体"/>
          <w:b/>
          <w:color w:val="auto"/>
          <w:sz w:val="22"/>
          <w:highlight w:val="none"/>
        </w:rPr>
        <w:t>；</w:t>
      </w:r>
    </w:p>
    <w:p>
      <w:pPr>
        <w:spacing w:line="360" w:lineRule="auto"/>
        <w:ind w:left="941" w:leftChars="203" w:hanging="515" w:hangingChars="233"/>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第二笔款：卖方正常履行售后服务，在项目正常运行12个月（从项目终验通过之日起开始计算）后，买方在30个工作日内，向卖方支付合同总价的10%。</w:t>
      </w:r>
    </w:p>
    <w:p>
      <w:pPr>
        <w:spacing w:line="360" w:lineRule="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7、相关服务</w:t>
      </w:r>
    </w:p>
    <w:p>
      <w:pPr>
        <w:spacing w:line="360" w:lineRule="auto"/>
        <w:ind w:left="750" w:leftChars="200" w:hanging="330" w:hangingChars="1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乙方为甲方提供如下免费服务：</w:t>
      </w:r>
    </w:p>
    <w:p>
      <w:pPr>
        <w:spacing w:line="360" w:lineRule="auto"/>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7.1乙方为甲方提供二年（24个月）的软件售后免费升级维护期，服务内容包括上述项目的安装调试、免费升级、故障排除、性能调优、技术咨询等，并负责系统的开发、集成，处理、协调与各系统软件供应商（开发设计单位）的关系。</w:t>
      </w:r>
    </w:p>
    <w:p>
      <w:pPr>
        <w:spacing w:line="360" w:lineRule="auto"/>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7.2</w:t>
      </w:r>
      <w:r>
        <w:rPr>
          <w:rFonts w:hint="eastAsia" w:ascii="新宋体" w:hAnsi="新宋体" w:eastAsia="新宋体" w:cs="新宋体"/>
          <w:color w:val="auto"/>
          <w:sz w:val="22"/>
          <w:szCs w:val="22"/>
          <w:highlight w:val="none"/>
        </w:rPr>
        <w:t>考虑到系统的重要性，项目建设方需要具备提供7X24小时电话服务，30分钟内响应，2小时内到达现场，8小时以内解决问题的能力。</w:t>
      </w:r>
      <w:r>
        <w:rPr>
          <w:rFonts w:hint="eastAsia" w:ascii="新宋体" w:hAnsi="新宋体" w:eastAsia="新宋体" w:cs="新宋体"/>
          <w:color w:val="auto"/>
          <w:sz w:val="22"/>
          <w:highlight w:val="none"/>
        </w:rPr>
        <w:t xml:space="preserve">但因程序本身的问题，而导致功能与说明书上不符、或程序运行错误等，乙方需提供免费完善其功能或修正其错误的技术支持； </w:t>
      </w:r>
    </w:p>
    <w:p>
      <w:pPr>
        <w:spacing w:line="360" w:lineRule="auto"/>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7.3二年的免费技术支持服务时间从终验收通过之日起计算；</w:t>
      </w:r>
    </w:p>
    <w:p>
      <w:pPr>
        <w:spacing w:line="360" w:lineRule="auto"/>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7.4</w:t>
      </w:r>
      <w:r>
        <w:rPr>
          <w:rFonts w:hint="eastAsia" w:ascii="新宋体" w:hAnsi="新宋体" w:eastAsia="新宋体" w:cs="新宋体"/>
          <w:color w:val="auto"/>
          <w:sz w:val="22"/>
          <w:szCs w:val="22"/>
          <w:highlight w:val="none"/>
        </w:rPr>
        <w:t>系统上线运行后，实施为期1个月的用户培训服务。</w:t>
      </w:r>
    </w:p>
    <w:p>
      <w:pPr>
        <w:spacing w:line="360" w:lineRule="auto"/>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7.5双方可就该软件系统免费维护期满后的维护与技术支持服务等内容另外签署服务合同。</w:t>
      </w:r>
    </w:p>
    <w:p>
      <w:pPr>
        <w:spacing w:line="360" w:lineRule="auto"/>
        <w:rPr>
          <w:rFonts w:hint="eastAsia" w:ascii="新宋体" w:hAnsi="新宋体" w:eastAsia="新宋体" w:cs="新宋体"/>
          <w:color w:val="auto"/>
          <w:sz w:val="22"/>
          <w:highlight w:val="none"/>
        </w:rPr>
      </w:pPr>
      <w:r>
        <w:rPr>
          <w:rFonts w:hint="eastAsia" w:ascii="新宋体" w:hAnsi="新宋体" w:eastAsia="新宋体" w:cs="新宋体"/>
          <w:b/>
          <w:color w:val="auto"/>
          <w:sz w:val="22"/>
          <w:highlight w:val="none"/>
        </w:rPr>
        <w:t>8、产品保证</w:t>
      </w:r>
    </w:p>
    <w:p>
      <w:pPr>
        <w:spacing w:line="360" w:lineRule="auto"/>
        <w:ind w:left="550" w:leftChars="262"/>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8.1乙方保证交付的软件均符合说明书或使用手册所述功能，并由软件验收测试的成功完成予以</w:t>
      </w:r>
    </w:p>
    <w:p>
      <w:pPr>
        <w:spacing w:line="360" w:lineRule="auto"/>
        <w:ind w:left="550" w:leftChars="262"/>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证明。验收测试的成功完成应被视为该软件能达到说明或使用手册所述功能的决定性证据。但本保证不适用于：</w:t>
      </w:r>
    </w:p>
    <w:p>
      <w:pPr>
        <w:spacing w:line="360" w:lineRule="auto"/>
        <w:ind w:left="743" w:leftChars="354"/>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8.1.1由于甲方原因或第三方产品的故障、网络故障等使软件无法正常运行。</w:t>
      </w:r>
    </w:p>
    <w:p>
      <w:pPr>
        <w:spacing w:line="360" w:lineRule="auto"/>
        <w:ind w:left="1121" w:leftChars="534"/>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果软件未能按照说明书或使用手册的功能运行，乙方应负责对软件进行修正或者在修正不能的情况下，免费为甲方更换符合规定的软件。如果上述二种方法均不可行，甲方有权终止软件不符合规定的部分，并由乙方返还甲方已经支付该部分的费用。</w:t>
      </w:r>
    </w:p>
    <w:p>
      <w:pPr>
        <w:tabs>
          <w:tab w:val="left" w:pos="1260"/>
        </w:tabs>
        <w:spacing w:line="360" w:lineRule="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9、产品验收</w:t>
      </w:r>
    </w:p>
    <w:p>
      <w:pPr>
        <w:spacing w:line="360" w:lineRule="auto"/>
        <w:ind w:firstLine="330" w:firstLineChars="1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9.1甲方对产品外部瑕疵的异议，应在收到该产品之日当面提出。</w:t>
      </w:r>
    </w:p>
    <w:p>
      <w:pPr>
        <w:spacing w:line="360" w:lineRule="auto"/>
        <w:ind w:left="653" w:leftChars="154" w:hanging="330" w:hangingChars="1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9.2乙方在甲方指定场所完成软件产品的安装和调试工作（包括个性化改造及适应性修改部份），并与甲方一起按软件的说明书或使用手册规定的技术指标和参数对该软件进行验收测试，验收测试合格后，甲方和乙方代表共同在验收合格证明书上签字。验收分为初验和终验。</w:t>
      </w:r>
    </w:p>
    <w:p>
      <w:pPr>
        <w:tabs>
          <w:tab w:val="left" w:pos="1260"/>
        </w:tabs>
        <w:spacing w:line="360" w:lineRule="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10、软件著作权</w:t>
      </w:r>
    </w:p>
    <w:p>
      <w:pPr>
        <w:spacing w:line="360" w:lineRule="auto"/>
        <w:ind w:left="423" w:leftChars="135" w:hanging="140" w:hangingChars="64"/>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乙方承诺：本合同规定的软件系统（包括个性化改造及适应性修改部份）是独立、可稳定运行的系统，不需要另外依靠第三方软件的支持；本软件如与甲方在用其它第三方软件冲突，由乙方负责解决；乙方已依法进行了计算机软件著作权登记，或已经通过由有关部门组织的验收，准予在甲方所处行业或部门推广应用；甲方在使用过程中，不会遭遇知识产权方面的阻碍。</w:t>
      </w:r>
    </w:p>
    <w:p>
      <w:pPr>
        <w:spacing w:line="360" w:lineRule="auto"/>
        <w:rPr>
          <w:rFonts w:hint="eastAsia" w:ascii="新宋体" w:hAnsi="新宋体" w:eastAsia="新宋体" w:cs="新宋体"/>
          <w:color w:val="auto"/>
          <w:sz w:val="22"/>
          <w:highlight w:val="none"/>
        </w:rPr>
      </w:pPr>
      <w:r>
        <w:rPr>
          <w:rFonts w:hint="eastAsia" w:ascii="新宋体" w:hAnsi="新宋体" w:eastAsia="新宋体" w:cs="新宋体"/>
          <w:b/>
          <w:color w:val="auto"/>
          <w:sz w:val="22"/>
          <w:highlight w:val="none"/>
        </w:rPr>
        <w:t>11、违约责任</w:t>
      </w:r>
    </w:p>
    <w:p>
      <w:pPr>
        <w:tabs>
          <w:tab w:val="left" w:pos="1080"/>
        </w:tabs>
        <w:spacing w:line="360" w:lineRule="auto"/>
        <w:ind w:left="439" w:leftChars="209"/>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本合同签订生效即具有法律效力，双方必须严格遵守，如有一方违约，其必须承担违约责任并赔偿对方因此而遭受的全部损失。具体如下：</w:t>
      </w:r>
    </w:p>
    <w:p>
      <w:pPr>
        <w:tabs>
          <w:tab w:val="left" w:pos="900"/>
        </w:tabs>
        <w:spacing w:line="360" w:lineRule="auto"/>
        <w:ind w:left="826" w:leftChars="184" w:hanging="440" w:hanging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乙方未按时交货（包括个性化改造及适应性修改部分），并在规定时间内完成安装、调试，上线运行或所提交的软件系统商品达不到合同或招标文件规定的指标，乙方应当承担违约方式和违约金额如下：每超期1天，扣合同总价的</w:t>
      </w:r>
      <w:r>
        <w:rPr>
          <w:rFonts w:hint="eastAsia" w:ascii="新宋体" w:hAnsi="新宋体" w:eastAsia="新宋体" w:cs="新宋体"/>
          <w:b/>
          <w:color w:val="auto"/>
          <w:sz w:val="22"/>
          <w:highlight w:val="none"/>
          <w:u w:val="single"/>
        </w:rPr>
        <w:t>0.1</w:t>
      </w:r>
      <w:r>
        <w:rPr>
          <w:rFonts w:hint="eastAsia" w:ascii="新宋体" w:hAnsi="新宋体" w:eastAsia="新宋体" w:cs="新宋体"/>
          <w:b/>
          <w:color w:val="auto"/>
          <w:sz w:val="22"/>
          <w:highlight w:val="none"/>
        </w:rPr>
        <w:t>%</w:t>
      </w:r>
      <w:r>
        <w:rPr>
          <w:rFonts w:hint="eastAsia" w:ascii="新宋体" w:hAnsi="新宋体" w:eastAsia="新宋体" w:cs="新宋体"/>
          <w:color w:val="auto"/>
          <w:sz w:val="22"/>
          <w:highlight w:val="none"/>
        </w:rPr>
        <w:t>；累计超期30天，甲方有权终止执行合同，乙方需无条件退会甲方已付所有款项。</w:t>
      </w:r>
    </w:p>
    <w:p>
      <w:pPr>
        <w:tabs>
          <w:tab w:val="left" w:pos="1080"/>
        </w:tabs>
        <w:spacing w:line="360" w:lineRule="auto"/>
        <w:ind w:left="841" w:leftChars="191" w:hanging="440" w:hanging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（2）甲方逾期支付货款的，自逾期之日起，向乙方每日偿付合同总价</w:t>
      </w:r>
      <w:r>
        <w:rPr>
          <w:rFonts w:hint="eastAsia" w:ascii="新宋体" w:hAnsi="新宋体" w:eastAsia="新宋体" w:cs="新宋体"/>
          <w:b/>
          <w:color w:val="auto"/>
          <w:sz w:val="22"/>
          <w:highlight w:val="none"/>
          <w:u w:val="single"/>
        </w:rPr>
        <w:t xml:space="preserve">0.1 </w:t>
      </w:r>
      <w:r>
        <w:rPr>
          <w:rFonts w:hint="eastAsia" w:ascii="新宋体" w:hAnsi="新宋体" w:eastAsia="新宋体" w:cs="新宋体"/>
          <w:b/>
          <w:color w:val="auto"/>
          <w:sz w:val="22"/>
          <w:highlight w:val="none"/>
        </w:rPr>
        <w:t>%</w:t>
      </w:r>
      <w:r>
        <w:rPr>
          <w:rFonts w:hint="eastAsia" w:ascii="新宋体" w:hAnsi="新宋体" w:eastAsia="新宋体" w:cs="新宋体"/>
          <w:color w:val="auto"/>
          <w:sz w:val="22"/>
          <w:highlight w:val="none"/>
        </w:rPr>
        <w:t>的违约金；甲方无正当理由拒绝付货款的，应向乙偿付合同总价</w:t>
      </w:r>
      <w:r>
        <w:rPr>
          <w:rFonts w:hint="eastAsia" w:ascii="新宋体" w:hAnsi="新宋体" w:eastAsia="新宋体" w:cs="新宋体"/>
          <w:b/>
          <w:color w:val="auto"/>
          <w:sz w:val="22"/>
          <w:highlight w:val="none"/>
          <w:u w:val="single"/>
        </w:rPr>
        <w:t xml:space="preserve"> 5 </w:t>
      </w:r>
      <w:r>
        <w:rPr>
          <w:rFonts w:hint="eastAsia" w:ascii="新宋体" w:hAnsi="新宋体" w:eastAsia="新宋体" w:cs="新宋体"/>
          <w:b/>
          <w:color w:val="auto"/>
          <w:sz w:val="22"/>
          <w:highlight w:val="none"/>
        </w:rPr>
        <w:t>%</w:t>
      </w:r>
      <w:r>
        <w:rPr>
          <w:rFonts w:hint="eastAsia" w:ascii="新宋体" w:hAnsi="新宋体" w:eastAsia="新宋体" w:cs="新宋体"/>
          <w:color w:val="auto"/>
          <w:sz w:val="22"/>
          <w:highlight w:val="none"/>
        </w:rPr>
        <w:t>的违约金。</w:t>
      </w:r>
    </w:p>
    <w:p>
      <w:pPr>
        <w:tabs>
          <w:tab w:val="left" w:pos="1080"/>
        </w:tabs>
        <w:spacing w:line="360" w:lineRule="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12、争议解决</w:t>
      </w:r>
    </w:p>
    <w:p>
      <w:pPr>
        <w:tabs>
          <w:tab w:val="left" w:pos="1080"/>
        </w:tabs>
        <w:spacing w:line="360" w:lineRule="auto"/>
        <w:ind w:left="328" w:leftChars="156"/>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凡由本合同引起的或与解释或执行本合同有关的任何争议，双方应首先通过友好协商或调解解决。若协商或调解不成，双方约定：向甲方所在地的仲裁，仲裁应依据该委员会当时的仲裁规则进行；仲裁裁决是终局的，对双方都有约束力；仲裁费用应由败诉方承担，除非仲裁裁决另有裁定。</w:t>
      </w:r>
    </w:p>
    <w:p>
      <w:pPr>
        <w:spacing w:line="360" w:lineRule="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13、合同生效及其他</w:t>
      </w:r>
    </w:p>
    <w:p>
      <w:pPr>
        <w:tabs>
          <w:tab w:val="left" w:pos="900"/>
        </w:tabs>
        <w:spacing w:line="360" w:lineRule="auto"/>
        <w:ind w:firstLine="220" w:firstLineChars="1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合同应在双方签字盖章后开始生效。</w:t>
      </w:r>
    </w:p>
    <w:p>
      <w:pPr>
        <w:tabs>
          <w:tab w:val="left" w:pos="900"/>
        </w:tabs>
        <w:spacing w:line="360" w:lineRule="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14本合同一式伍份，双方各执贰份，浙江省成套代理公司执一份，具有同等法律效力。</w:t>
      </w:r>
    </w:p>
    <w:p>
      <w:pPr>
        <w:tabs>
          <w:tab w:val="left" w:pos="900"/>
        </w:tabs>
        <w:spacing w:line="360" w:lineRule="auto"/>
        <w:ind w:firstLine="220" w:firstLineChars="1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14.1如需修改或补充合同内容，经协商，双方应签署书面修改或补充协议，该协议将作为本合同的一个组成部分。</w:t>
      </w:r>
    </w:p>
    <w:p>
      <w:pPr>
        <w:snapToGrid w:val="0"/>
        <w:spacing w:line="360" w:lineRule="auto"/>
        <w:ind w:left="655" w:leftChars="50" w:hanging="550" w:hanging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14.2 下列文件构成本合同的组成部分：</w:t>
      </w:r>
    </w:p>
    <w:p>
      <w:pPr>
        <w:spacing w:line="360" w:lineRule="auto"/>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（1）合同主要条款                 （2）合同的特殊条款</w:t>
      </w:r>
    </w:p>
    <w:p>
      <w:pPr>
        <w:spacing w:line="360" w:lineRule="auto"/>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（3）售后服务条款                 （4）中标通知书</w:t>
      </w:r>
    </w:p>
    <w:p>
      <w:pPr>
        <w:spacing w:line="360" w:lineRule="auto"/>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(5) 投标分项报价表                (6) 技术规格、商务条款偏离表</w:t>
      </w:r>
    </w:p>
    <w:p>
      <w:pPr>
        <w:spacing w:line="360" w:lineRule="auto"/>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(7) 招标内容及要求               （8）合同补充条款或说明（如有的话）</w:t>
      </w:r>
    </w:p>
    <w:p>
      <w:pPr>
        <w:spacing w:line="360" w:lineRule="auto"/>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(9) 承诺书 （含询标记录和优惠条件）</w:t>
      </w:r>
    </w:p>
    <w:p>
      <w:pPr>
        <w:spacing w:line="360" w:lineRule="auto"/>
        <w:ind w:firstLine="440" w:firstLineChars="200"/>
        <w:rPr>
          <w:rFonts w:hint="eastAsia" w:ascii="新宋体" w:hAnsi="新宋体" w:eastAsia="新宋体" w:cs="新宋体"/>
          <w:color w:val="auto"/>
          <w:sz w:val="22"/>
          <w:highlight w:val="none"/>
        </w:rPr>
      </w:pPr>
    </w:p>
    <w:p>
      <w:pPr>
        <w:spacing w:line="360" w:lineRule="auto"/>
        <w:ind w:firstLine="1210" w:firstLineChars="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甲方：（印章）   　　　　　　　　　　乙方：（印章）</w:t>
      </w:r>
    </w:p>
    <w:p>
      <w:pPr>
        <w:spacing w:line="360" w:lineRule="auto"/>
        <w:ind w:firstLine="1210" w:firstLineChars="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全权代表:（签字）                    全权代表:（签字）</w:t>
      </w:r>
    </w:p>
    <w:p>
      <w:pPr>
        <w:spacing w:line="360" w:lineRule="auto"/>
        <w:ind w:firstLine="1210" w:firstLineChars="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                               地址：</w:t>
      </w:r>
    </w:p>
    <w:p>
      <w:pPr>
        <w:spacing w:line="360" w:lineRule="auto"/>
        <w:ind w:firstLine="1210" w:firstLineChars="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                           邮政编码：</w:t>
      </w:r>
    </w:p>
    <w:p>
      <w:pPr>
        <w:spacing w:line="360" w:lineRule="auto"/>
        <w:ind w:firstLine="1210" w:firstLineChars="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                               电话：</w:t>
      </w:r>
    </w:p>
    <w:p>
      <w:pPr>
        <w:spacing w:line="360" w:lineRule="auto"/>
        <w:ind w:firstLine="1210" w:firstLineChars="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                               传真：</w:t>
      </w:r>
    </w:p>
    <w:p>
      <w:pPr>
        <w:spacing w:line="360" w:lineRule="auto"/>
        <w:ind w:firstLine="1210" w:firstLineChars="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                           开户银行：</w:t>
      </w:r>
    </w:p>
    <w:p>
      <w:pPr>
        <w:spacing w:line="360" w:lineRule="auto"/>
        <w:ind w:firstLine="1210" w:firstLineChars="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帐号：                               帐号：</w:t>
      </w:r>
    </w:p>
    <w:p>
      <w:pPr>
        <w:pStyle w:val="2"/>
        <w:rPr>
          <w:rFonts w:hint="eastAsia" w:ascii="新宋体" w:hAnsi="新宋体" w:eastAsia="新宋体" w:cs="新宋体"/>
          <w:color w:val="auto"/>
          <w:sz w:val="32"/>
          <w:szCs w:val="32"/>
          <w:highlight w:val="none"/>
        </w:rPr>
      </w:pPr>
    </w:p>
    <w:p>
      <w:pPr>
        <w:pStyle w:val="2"/>
        <w:rPr>
          <w:rFonts w:hint="eastAsia" w:ascii="新宋体" w:hAnsi="新宋体" w:eastAsia="新宋体" w:cs="新宋体"/>
          <w:color w:val="auto"/>
          <w:sz w:val="32"/>
          <w:szCs w:val="32"/>
          <w:highlight w:val="none"/>
        </w:rPr>
      </w:pPr>
    </w:p>
    <w:p>
      <w:pPr>
        <w:pStyle w:val="2"/>
        <w:rPr>
          <w:rFonts w:hint="eastAsia" w:ascii="新宋体" w:hAnsi="新宋体" w:eastAsia="新宋体" w:cs="新宋体"/>
          <w:color w:val="auto"/>
          <w:sz w:val="32"/>
          <w:szCs w:val="32"/>
          <w:highlight w:val="none"/>
        </w:rPr>
      </w:pPr>
    </w:p>
    <w:p>
      <w:pPr>
        <w:pStyle w:val="2"/>
        <w:rPr>
          <w:rFonts w:hint="eastAsia" w:ascii="新宋体" w:hAnsi="新宋体" w:eastAsia="新宋体" w:cs="新宋体"/>
          <w:color w:val="auto"/>
          <w:sz w:val="32"/>
          <w:szCs w:val="32"/>
          <w:highlight w:val="none"/>
        </w:rPr>
      </w:pPr>
    </w:p>
    <w:p>
      <w:pPr>
        <w:pStyle w:val="2"/>
        <w:rPr>
          <w:rFonts w:hint="eastAsia" w:ascii="新宋体" w:hAnsi="新宋体" w:eastAsia="新宋体" w:cs="新宋体"/>
          <w:color w:val="auto"/>
          <w:sz w:val="32"/>
          <w:szCs w:val="32"/>
          <w:highlight w:val="none"/>
        </w:rPr>
      </w:pPr>
    </w:p>
    <w:p>
      <w:pPr>
        <w:pStyle w:val="2"/>
        <w:rPr>
          <w:rFonts w:hint="eastAsia" w:ascii="新宋体" w:hAnsi="新宋体" w:eastAsia="新宋体" w:cs="新宋体"/>
          <w:color w:val="auto"/>
          <w:sz w:val="32"/>
          <w:szCs w:val="32"/>
          <w:highlight w:val="none"/>
        </w:rPr>
      </w:pPr>
    </w:p>
    <w:p>
      <w:pPr>
        <w:pStyle w:val="2"/>
        <w:rPr>
          <w:rFonts w:hint="eastAsia" w:ascii="新宋体" w:hAnsi="新宋体" w:eastAsia="新宋体" w:cs="新宋体"/>
          <w:color w:val="auto"/>
          <w:sz w:val="32"/>
          <w:szCs w:val="32"/>
          <w:highlight w:val="none"/>
        </w:rPr>
      </w:pPr>
    </w:p>
    <w:p>
      <w:pPr>
        <w:pStyle w:val="2"/>
        <w:rPr>
          <w:rFonts w:hint="eastAsia" w:ascii="新宋体" w:hAnsi="新宋体" w:eastAsia="新宋体" w:cs="新宋体"/>
          <w:color w:val="auto"/>
          <w:sz w:val="32"/>
          <w:szCs w:val="32"/>
          <w:highlight w:val="none"/>
        </w:rPr>
      </w:pPr>
    </w:p>
    <w:p>
      <w:pPr>
        <w:pStyle w:val="2"/>
        <w:rPr>
          <w:rFonts w:hint="eastAsia" w:ascii="新宋体" w:hAnsi="新宋体" w:eastAsia="新宋体" w:cs="新宋体"/>
          <w:color w:val="auto"/>
          <w:sz w:val="32"/>
          <w:szCs w:val="32"/>
          <w:highlight w:val="none"/>
        </w:rPr>
      </w:pPr>
    </w:p>
    <w:p>
      <w:pPr>
        <w:pStyle w:val="2"/>
        <w:rPr>
          <w:rFonts w:hint="eastAsia" w:ascii="新宋体" w:hAnsi="新宋体" w:eastAsia="新宋体" w:cs="新宋体"/>
          <w:color w:val="auto"/>
          <w:sz w:val="32"/>
          <w:szCs w:val="32"/>
          <w:highlight w:val="none"/>
        </w:rPr>
      </w:pPr>
    </w:p>
    <w:bookmarkEnd w:id="60"/>
    <w:p>
      <w:pPr>
        <w:pStyle w:val="2"/>
        <w:rPr>
          <w:rFonts w:hint="eastAsia" w:ascii="新宋体" w:hAnsi="新宋体" w:eastAsia="新宋体" w:cs="新宋体"/>
          <w:color w:val="auto"/>
          <w:sz w:val="32"/>
          <w:szCs w:val="32"/>
          <w:highlight w:val="none"/>
        </w:rPr>
      </w:pPr>
    </w:p>
    <w:p>
      <w:pPr>
        <w:rPr>
          <w:rFonts w:hint="eastAsia" w:ascii="新宋体" w:hAnsi="新宋体" w:eastAsia="新宋体" w:cs="新宋体"/>
          <w:color w:val="auto"/>
          <w:sz w:val="32"/>
          <w:szCs w:val="32"/>
          <w:highlight w:val="none"/>
        </w:rPr>
      </w:pPr>
    </w:p>
    <w:p>
      <w:pPr>
        <w:jc w:val="center"/>
        <w:rPr>
          <w:rFonts w:hint="eastAsia" w:ascii="新宋体" w:hAnsi="新宋体" w:eastAsia="新宋体" w:cs="新宋体"/>
          <w:b/>
          <w:bCs/>
          <w:color w:val="auto"/>
          <w:sz w:val="32"/>
          <w:szCs w:val="32"/>
          <w:highlight w:val="none"/>
        </w:rPr>
      </w:pPr>
    </w:p>
    <w:p>
      <w:pPr>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第五部分   磋商响应文件格式</w:t>
      </w:r>
    </w:p>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附件一</w:t>
      </w:r>
    </w:p>
    <w:p>
      <w:pPr>
        <w:spacing w:line="460" w:lineRule="exact"/>
        <w:ind w:left="22" w:hanging="22" w:hangingChars="8"/>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磋 商 函</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温州医科大学附属口腔医院：</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浙江省成套招标代理有限公司：</w:t>
      </w:r>
    </w:p>
    <w:p>
      <w:pPr>
        <w:spacing w:line="42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）的磋商邀请，我方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（供应商名称）作为供应商正式授权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（授权代表全名，职务）代表我方处理有关本项目磋商的一切事宜。</w:t>
      </w:r>
    </w:p>
    <w:p>
      <w:pPr>
        <w:spacing w:line="420" w:lineRule="exact"/>
        <w:ind w:firstLine="440"/>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在此提交的磋商响应文件中，包括按“投标供应商须知”要求编制的磋商响应文件【正本一份，副本三份】，并已密封装袋：</w:t>
      </w:r>
    </w:p>
    <w:p>
      <w:pPr>
        <w:autoSpaceDE w:val="0"/>
        <w:autoSpaceDN w:val="0"/>
        <w:adjustRightInd w:val="0"/>
        <w:spacing w:line="420" w:lineRule="atLeast"/>
        <w:ind w:firstLine="44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我方己完全明白竞争性磋商采购文件的所有条款要求，并重申以下几点：</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已详细阅读全部竞争性磋商采购文件，包括竞争性磋商采购文件补充文件（如果有，包括相关的补充、更正、澄清公告和文件）、参考资料及有关附件，确认无误。我方完全理解并接受竞争性磋商采购文件的各项规定和要求。</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2、同意提供按照贵方可能要求的与投标有关的一切数据或资料等。若贵方需要，我方愿意提供我方作出的一切承诺的证明材料。</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3、如中标，保证按照竞争性磋商采购文件要求及磋商响应文件的承诺与采购人签订合同，保证履行合同条款并交纳履约保证金。</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4、同意在竞争性磋商采购文件中投标供应商须知规定的开标日期起遵守本投标书中的承诺且在投标有效期满之前均具有约束力。</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5、如果在开标后规定的投标有效期内撤回投标，我方的投标保证金可被贵方没收。</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6、完全理解贵方不一定要接受最低价的投标。</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7、在参加本项目前三年内（被通报或者处罚的违法行为有：</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）或（没有因违法经营受到刑事处罚或者责令停产停业、吊销许可证或者执照、较大数额罚款等行政处罚或处罚）或（在</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至</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期间禁止参加政府采购活动但是期限届满，须附相关证明文件）</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8、在投标截止前（未被“信用中国”网站(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s="新宋体"/>
          <w:color w:val="auto"/>
          <w:sz w:val="22"/>
          <w:highlight w:val="none"/>
        </w:rPr>
        <w:t>www.creditchina.gov.cn</w:t>
      </w:r>
      <w:r>
        <w:rPr>
          <w:rFonts w:hint="eastAsia" w:ascii="新宋体" w:hAnsi="新宋体" w:eastAsia="新宋体" w:cs="新宋体"/>
          <w:color w:val="auto"/>
          <w:sz w:val="22"/>
          <w:highlight w:val="none"/>
        </w:rPr>
        <w:fldChar w:fldCharType="end"/>
      </w:r>
      <w:r>
        <w:rPr>
          <w:rFonts w:hint="eastAsia" w:ascii="新宋体" w:hAnsi="新宋体" w:eastAsia="新宋体" w:cs="新宋体"/>
          <w:color w:val="auto"/>
          <w:sz w:val="22"/>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新宋体" w:hAnsi="新宋体" w:eastAsia="新宋体" w:cs="新宋体"/>
          <w:color w:val="auto"/>
          <w:sz w:val="22"/>
          <w:highlight w:val="none"/>
        </w:rPr>
        <w:t>www.ccgp.gov.cn</w:t>
      </w:r>
      <w:r>
        <w:rPr>
          <w:rFonts w:hint="eastAsia" w:ascii="新宋体" w:hAnsi="新宋体" w:eastAsia="新宋体" w:cs="新宋体"/>
          <w:color w:val="auto"/>
          <w:sz w:val="22"/>
          <w:highlight w:val="none"/>
        </w:rPr>
        <w:fldChar w:fldCharType="end"/>
      </w:r>
      <w:r>
        <w:rPr>
          <w:rFonts w:hint="eastAsia" w:ascii="新宋体" w:hAnsi="新宋体" w:eastAsia="新宋体" w:cs="新宋体"/>
          <w:color w:val="auto"/>
          <w:sz w:val="22"/>
          <w:highlight w:val="none"/>
        </w:rPr>
        <w:t>)列入政府采购严重违法失信行为记录名单。）或（被“信用中国”或“中国政府采购网”列入……名单。）</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9、单位、法定代表人、本项目授权代表及本项目负责人在参加本项目前三年内（以法院判决书生效日期为准）均无行贿犯罪记录。</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10、如有列情形之一的，我方愿意被取消中标资格（如中标），并可没收我方的投标保证金，同时继续承担其他一切法律后果，并不再寻求任何旨在减轻或免除法律责任的解释：</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(1)提供虚假材料（承诺）谋取中标、成交的；</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(2)采取不正当手段诋毁、排挤其他供应商的；</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(3)与采购人、其它供应商或者招标代理机构恶意串通的；</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(4)向采购人、招标代理机构行贿或者提供其他不正当利益的；</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(5)在招标采购过程中与采购人进行协商谈判的；</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(6)拒绝有关部门监督检查或提供虚假情况的。</w:t>
      </w:r>
    </w:p>
    <w:p>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11、所有与本投标有关的函件请发往下列地址：</w:t>
      </w:r>
    </w:p>
    <w:p>
      <w:pPr>
        <w:spacing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地址</w:t>
      </w:r>
      <w:r>
        <w:rPr>
          <w:rFonts w:hint="eastAsia" w:ascii="新宋体" w:hAnsi="新宋体" w:eastAsia="新宋体" w:cs="新宋体"/>
          <w:color w:val="auto"/>
          <w:sz w:val="22"/>
          <w:szCs w:val="22"/>
          <w:highlight w:val="none"/>
          <w:u w:val="single"/>
        </w:rPr>
        <w:t xml:space="preserve">                           </w:t>
      </w:r>
    </w:p>
    <w:p>
      <w:pPr>
        <w:spacing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电话</w:t>
      </w:r>
      <w:r>
        <w:rPr>
          <w:rFonts w:hint="eastAsia" w:ascii="新宋体" w:hAnsi="新宋体" w:eastAsia="新宋体" w:cs="新宋体"/>
          <w:color w:val="auto"/>
          <w:sz w:val="22"/>
          <w:szCs w:val="22"/>
          <w:highlight w:val="none"/>
          <w:u w:val="single"/>
        </w:rPr>
        <w:t xml:space="preserve">                           </w:t>
      </w:r>
    </w:p>
    <w:p>
      <w:pPr>
        <w:spacing w:line="420" w:lineRule="exact"/>
        <w:ind w:firstLine="435"/>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传真</w:t>
      </w:r>
      <w:r>
        <w:rPr>
          <w:rFonts w:hint="eastAsia" w:ascii="新宋体" w:hAnsi="新宋体" w:eastAsia="新宋体" w:cs="新宋体"/>
          <w:color w:val="auto"/>
          <w:sz w:val="22"/>
          <w:szCs w:val="22"/>
          <w:highlight w:val="none"/>
          <w:u w:val="single"/>
        </w:rPr>
        <w:t xml:space="preserve">                           </w:t>
      </w:r>
    </w:p>
    <w:p>
      <w:pPr>
        <w:spacing w:line="42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电子邮件</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w:t>
      </w:r>
    </w:p>
    <w:p>
      <w:pPr>
        <w:spacing w:line="420" w:lineRule="exact"/>
        <w:ind w:firstLine="435"/>
        <w:rPr>
          <w:rFonts w:hint="eastAsia" w:ascii="新宋体" w:hAnsi="新宋体" w:eastAsia="新宋体" w:cs="新宋体"/>
          <w:color w:val="auto"/>
          <w:sz w:val="22"/>
          <w:szCs w:val="22"/>
          <w:highlight w:val="none"/>
        </w:rPr>
      </w:pPr>
    </w:p>
    <w:p>
      <w:pPr>
        <w:spacing w:line="420" w:lineRule="exact"/>
        <w:ind w:firstLine="46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投标供应商名称（盖章）</w:t>
      </w:r>
      <w:r>
        <w:rPr>
          <w:rFonts w:hint="eastAsia" w:ascii="新宋体" w:hAnsi="新宋体" w:eastAsia="新宋体" w:cs="新宋体"/>
          <w:color w:val="auto"/>
          <w:sz w:val="22"/>
          <w:szCs w:val="22"/>
          <w:highlight w:val="none"/>
          <w:u w:val="single"/>
        </w:rPr>
        <w:t xml:space="preserve">                  </w:t>
      </w:r>
    </w:p>
    <w:p>
      <w:pPr>
        <w:spacing w:line="420" w:lineRule="exact"/>
        <w:ind w:firstLine="46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投标供应商代表（签字）</w:t>
      </w:r>
      <w:r>
        <w:rPr>
          <w:rFonts w:hint="eastAsia" w:ascii="新宋体" w:hAnsi="新宋体" w:eastAsia="新宋体" w:cs="新宋体"/>
          <w:color w:val="auto"/>
          <w:sz w:val="22"/>
          <w:szCs w:val="22"/>
          <w:highlight w:val="none"/>
          <w:u w:val="single"/>
        </w:rPr>
        <w:t xml:space="preserve">                   </w:t>
      </w:r>
    </w:p>
    <w:p>
      <w:pPr>
        <w:spacing w:line="460" w:lineRule="exact"/>
        <w:ind w:firstLine="462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日    期</w:t>
      </w:r>
      <w:r>
        <w:rPr>
          <w:rFonts w:hint="eastAsia" w:ascii="新宋体" w:hAnsi="新宋体" w:eastAsia="新宋体" w:cs="新宋体"/>
          <w:color w:val="auto"/>
          <w:sz w:val="22"/>
          <w:szCs w:val="22"/>
          <w:highlight w:val="none"/>
          <w:u w:val="single"/>
        </w:rPr>
        <w:t xml:space="preserve">           </w:t>
      </w:r>
    </w:p>
    <w:p>
      <w:pPr>
        <w:spacing w:line="460" w:lineRule="exact"/>
        <w:ind w:firstLine="4620"/>
        <w:rPr>
          <w:rFonts w:hint="eastAsia" w:ascii="新宋体" w:hAnsi="新宋体" w:eastAsia="新宋体" w:cs="新宋体"/>
          <w:color w:val="auto"/>
          <w:sz w:val="22"/>
          <w:szCs w:val="22"/>
          <w:highlight w:val="none"/>
          <w:u w:val="single"/>
        </w:rPr>
      </w:pPr>
    </w:p>
    <w:p>
      <w:pPr>
        <w:spacing w:line="460" w:lineRule="exact"/>
        <w:ind w:firstLine="435"/>
        <w:rPr>
          <w:rFonts w:hint="eastAsia" w:ascii="新宋体" w:hAnsi="新宋体" w:eastAsia="新宋体" w:cs="新宋体"/>
          <w:color w:val="auto"/>
          <w:sz w:val="22"/>
          <w:szCs w:val="22"/>
          <w:highlight w:val="none"/>
          <w:u w:val="single"/>
        </w:rPr>
        <w:sectPr>
          <w:headerReference r:id="rId10" w:type="first"/>
          <w:footerReference r:id="rId13" w:type="first"/>
          <w:headerReference r:id="rId9" w:type="default"/>
          <w:footerReference r:id="rId11" w:type="default"/>
          <w:footerReference r:id="rId12" w:type="even"/>
          <w:type w:val="nextColumn"/>
          <w:pgSz w:w="11906" w:h="16838"/>
          <w:pgMar w:top="1134" w:right="1134" w:bottom="1402" w:left="1134" w:header="851" w:footer="851" w:gutter="0"/>
          <w:cols w:space="720" w:num="1"/>
          <w:titlePg/>
          <w:docGrid w:linePitch="312" w:charSpace="0"/>
        </w:sectPr>
      </w:pPr>
      <w:r>
        <w:rPr>
          <w:rFonts w:hint="eastAsia" w:ascii="新宋体" w:hAnsi="新宋体" w:eastAsia="新宋体" w:cs="新宋体"/>
          <w:color w:val="auto"/>
          <w:szCs w:val="21"/>
          <w:highlight w:val="none"/>
          <w:u w:val="single"/>
        </w:rPr>
        <w:t>▲</w:t>
      </w:r>
      <w:r>
        <w:rPr>
          <w:rFonts w:hint="eastAsia" w:ascii="新宋体" w:hAnsi="新宋体" w:eastAsia="新宋体" w:cs="新宋体"/>
          <w:color w:val="auto"/>
          <w:sz w:val="22"/>
          <w:szCs w:val="22"/>
          <w:highlight w:val="none"/>
          <w:u w:val="single"/>
        </w:rPr>
        <w:t>不提供磋商函的磋商响应文件按无效标处理。</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附件二 </w:t>
      </w:r>
    </w:p>
    <w:p>
      <w:pPr>
        <w:spacing w:line="460" w:lineRule="exact"/>
        <w:ind w:left="22" w:hanging="22" w:hangingChars="8"/>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报价一览表</w:t>
      </w:r>
    </w:p>
    <w:p>
      <w:pPr>
        <w:spacing w:line="400" w:lineRule="exact"/>
        <w:ind w:firstLine="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2"/>
          <w:sz w:val="22"/>
          <w:szCs w:val="22"/>
          <w:highlight w:val="none"/>
        </w:rPr>
        <w:t xml:space="preserve">项目名称：                         项目编号：                      </w:t>
      </w:r>
      <w:r>
        <w:rPr>
          <w:rFonts w:hint="eastAsia" w:ascii="新宋体" w:hAnsi="新宋体" w:eastAsia="新宋体" w:cs="新宋体"/>
          <w:color w:val="auto"/>
          <w:sz w:val="22"/>
          <w:szCs w:val="22"/>
          <w:highlight w:val="none"/>
        </w:rPr>
        <w:t>单位：人民币元</w:t>
      </w:r>
    </w:p>
    <w:tbl>
      <w:tblPr>
        <w:tblStyle w:val="66"/>
        <w:tblW w:w="9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620"/>
        <w:gridCol w:w="2160"/>
        <w:gridCol w:w="1272"/>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2700" w:type="dxa"/>
            <w:vAlign w:val="center"/>
          </w:tcPr>
          <w:p>
            <w:pPr>
              <w:pStyle w:val="28"/>
              <w:jc w:val="cente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项目名称</w:t>
            </w:r>
          </w:p>
        </w:tc>
        <w:tc>
          <w:tcPr>
            <w:tcW w:w="1620" w:type="dxa"/>
            <w:vAlign w:val="center"/>
          </w:tcPr>
          <w:p>
            <w:pPr>
              <w:pStyle w:val="28"/>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交付时间</w:t>
            </w:r>
          </w:p>
        </w:tc>
        <w:tc>
          <w:tcPr>
            <w:tcW w:w="2160" w:type="dxa"/>
            <w:vAlign w:val="center"/>
          </w:tcPr>
          <w:p>
            <w:pPr>
              <w:pStyle w:val="28"/>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免费升级维护期</w:t>
            </w:r>
          </w:p>
        </w:tc>
        <w:tc>
          <w:tcPr>
            <w:tcW w:w="1272" w:type="dxa"/>
            <w:vAlign w:val="center"/>
          </w:tcPr>
          <w:p>
            <w:pPr>
              <w:pStyle w:val="28"/>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项目负责人</w:t>
            </w:r>
          </w:p>
        </w:tc>
        <w:tc>
          <w:tcPr>
            <w:tcW w:w="2245" w:type="dxa"/>
            <w:vAlign w:val="center"/>
          </w:tcPr>
          <w:p>
            <w:pPr>
              <w:pStyle w:val="28"/>
              <w:jc w:val="center"/>
              <w:rPr>
                <w:rFonts w:hint="eastAsia" w:ascii="新宋体" w:hAnsi="新宋体" w:eastAsia="新宋体" w:cs="新宋体"/>
                <w:color w:val="auto"/>
                <w:highlight w:val="none"/>
              </w:rPr>
            </w:pPr>
            <w:r>
              <w:rPr>
                <w:rFonts w:hint="eastAsia" w:ascii="新宋体" w:hAnsi="新宋体" w:eastAsia="新宋体" w:cs="新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2700" w:type="dxa"/>
            <w:vAlign w:val="center"/>
          </w:tcPr>
          <w:p>
            <w:pPr>
              <w:pStyle w:val="28"/>
              <w:jc w:val="center"/>
              <w:rPr>
                <w:rFonts w:hint="eastAsia" w:ascii="新宋体" w:hAnsi="新宋体" w:eastAsia="新宋体" w:cs="新宋体"/>
                <w:color w:val="auto"/>
                <w:highlight w:val="none"/>
              </w:rPr>
            </w:pPr>
          </w:p>
        </w:tc>
        <w:tc>
          <w:tcPr>
            <w:tcW w:w="1620" w:type="dxa"/>
            <w:vAlign w:val="center"/>
          </w:tcPr>
          <w:p>
            <w:pPr>
              <w:pStyle w:val="28"/>
              <w:jc w:val="center"/>
              <w:rPr>
                <w:rFonts w:hint="eastAsia" w:ascii="新宋体" w:hAnsi="新宋体" w:eastAsia="新宋体" w:cs="新宋体"/>
                <w:color w:val="auto"/>
                <w:highlight w:val="none"/>
              </w:rPr>
            </w:pPr>
          </w:p>
        </w:tc>
        <w:tc>
          <w:tcPr>
            <w:tcW w:w="2160" w:type="dxa"/>
            <w:vAlign w:val="center"/>
          </w:tcPr>
          <w:p>
            <w:pPr>
              <w:pStyle w:val="28"/>
              <w:jc w:val="center"/>
              <w:rPr>
                <w:rFonts w:hint="eastAsia" w:ascii="新宋体" w:hAnsi="新宋体" w:eastAsia="新宋体" w:cs="新宋体"/>
                <w:color w:val="auto"/>
                <w:highlight w:val="none"/>
              </w:rPr>
            </w:pPr>
          </w:p>
        </w:tc>
        <w:tc>
          <w:tcPr>
            <w:tcW w:w="1272" w:type="dxa"/>
            <w:vAlign w:val="center"/>
          </w:tcPr>
          <w:p>
            <w:pPr>
              <w:pStyle w:val="28"/>
              <w:jc w:val="center"/>
              <w:rPr>
                <w:rFonts w:hint="eastAsia" w:ascii="新宋体" w:hAnsi="新宋体" w:eastAsia="新宋体" w:cs="新宋体"/>
                <w:color w:val="auto"/>
                <w:highlight w:val="none"/>
              </w:rPr>
            </w:pPr>
          </w:p>
        </w:tc>
        <w:tc>
          <w:tcPr>
            <w:tcW w:w="2245" w:type="dxa"/>
            <w:vAlign w:val="center"/>
          </w:tcPr>
          <w:p>
            <w:pPr>
              <w:pStyle w:val="28"/>
              <w:jc w:val="center"/>
              <w:rPr>
                <w:rFonts w:hint="eastAsia" w:ascii="新宋体" w:hAnsi="新宋体" w:eastAsia="新宋体" w:cs="新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2700" w:type="dxa"/>
            <w:vAlign w:val="center"/>
          </w:tcPr>
          <w:p>
            <w:pPr>
              <w:pStyle w:val="28"/>
              <w:jc w:val="center"/>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投标总价（人民币元）</w:t>
            </w:r>
          </w:p>
        </w:tc>
        <w:tc>
          <w:tcPr>
            <w:tcW w:w="7297" w:type="dxa"/>
            <w:gridSpan w:val="4"/>
            <w:vAlign w:val="center"/>
          </w:tcPr>
          <w:p>
            <w:pPr>
              <w:pStyle w:val="28"/>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（大写）</w:t>
            </w:r>
          </w:p>
          <w:p>
            <w:pPr>
              <w:pStyle w:val="28"/>
              <w:rPr>
                <w:rFonts w:hint="eastAsia" w:ascii="新宋体" w:hAnsi="新宋体" w:eastAsia="新宋体" w:cs="新宋体"/>
                <w:color w:val="auto"/>
                <w:highlight w:val="none"/>
              </w:rPr>
            </w:pPr>
            <w:r>
              <w:rPr>
                <w:rFonts w:hint="eastAsia" w:ascii="新宋体" w:hAnsi="新宋体" w:eastAsia="新宋体" w:cs="新宋体"/>
                <w:b/>
                <w:color w:val="auto"/>
                <w:highlight w:val="none"/>
              </w:rPr>
              <w:t>（小写）</w:t>
            </w:r>
          </w:p>
        </w:tc>
      </w:tr>
    </w:tbl>
    <w:p>
      <w:pPr>
        <w:spacing w:line="360" w:lineRule="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说明：</w:t>
      </w:r>
    </w:p>
    <w:p>
      <w:pPr>
        <w:spacing w:line="360" w:lineRule="auto"/>
        <w:rPr>
          <w:rFonts w:hint="eastAsia" w:ascii="新宋体" w:hAnsi="新宋体" w:eastAsia="新宋体" w:cs="新宋体"/>
          <w:b/>
          <w:color w:val="auto"/>
          <w:sz w:val="22"/>
          <w:szCs w:val="22"/>
          <w:highlight w:val="none"/>
          <w:u w:val="single"/>
        </w:rPr>
      </w:pPr>
      <w:r>
        <w:rPr>
          <w:rFonts w:hint="eastAsia" w:ascii="新宋体" w:hAnsi="新宋体" w:eastAsia="新宋体" w:cs="新宋体"/>
          <w:bCs/>
          <w:color w:val="auto"/>
          <w:sz w:val="22"/>
          <w:szCs w:val="22"/>
          <w:highlight w:val="none"/>
        </w:rPr>
        <w:t>1.投标总价是指</w:t>
      </w:r>
      <w:r>
        <w:rPr>
          <w:rFonts w:hint="eastAsia" w:ascii="新宋体" w:hAnsi="新宋体" w:eastAsia="新宋体" w:cs="新宋体"/>
          <w:color w:val="auto"/>
          <w:sz w:val="22"/>
          <w:szCs w:val="22"/>
          <w:highlight w:val="none"/>
        </w:rPr>
        <w:t>中标人在正确地完全履行合同义务后采购人应支付给中标人所有的服务价款，即系统软件平台的建立、调试、运行、维护/升级费用、税金等完成本项目所需的人工费以及采购代理服务费等全部费用，实行固定费用总包干，投标供应商应根据上述因素自行考虑含入投标总价。</w:t>
      </w:r>
    </w:p>
    <w:p>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Cs w:val="21"/>
          <w:highlight w:val="none"/>
          <w:u w:val="single"/>
        </w:rPr>
        <w:t>▲此栏内投标总价应与附件三“投标分项报价表”中合计总价相一致</w:t>
      </w:r>
      <w:r>
        <w:rPr>
          <w:rFonts w:hint="eastAsia" w:ascii="新宋体" w:hAnsi="新宋体" w:eastAsia="新宋体" w:cs="新宋体"/>
          <w:bCs/>
          <w:color w:val="auto"/>
          <w:sz w:val="22"/>
          <w:szCs w:val="22"/>
          <w:highlight w:val="none"/>
          <w:u w:val="single"/>
        </w:rPr>
        <w:t>。</w:t>
      </w:r>
    </w:p>
    <w:p>
      <w:pPr>
        <w:spacing w:line="360" w:lineRule="auto"/>
        <w:rPr>
          <w:rFonts w:hint="eastAsia" w:ascii="新宋体" w:hAnsi="新宋体" w:eastAsia="新宋体" w:cs="新宋体"/>
          <w:bCs/>
          <w:color w:val="auto"/>
          <w:sz w:val="22"/>
          <w:szCs w:val="22"/>
          <w:highlight w:val="none"/>
          <w:u w:val="single"/>
        </w:rPr>
      </w:pPr>
      <w:r>
        <w:rPr>
          <w:rFonts w:hint="eastAsia" w:ascii="新宋体" w:hAnsi="新宋体" w:eastAsia="新宋体" w:cs="新宋体"/>
          <w:bCs/>
          <w:color w:val="auto"/>
          <w:sz w:val="22"/>
          <w:szCs w:val="22"/>
          <w:highlight w:val="none"/>
        </w:rPr>
        <w:t>3、</w:t>
      </w:r>
      <w:r>
        <w:rPr>
          <w:rFonts w:hint="eastAsia" w:ascii="新宋体" w:hAnsi="新宋体" w:eastAsia="新宋体" w:cs="新宋体"/>
          <w:bCs/>
          <w:color w:val="auto"/>
          <w:szCs w:val="21"/>
          <w:highlight w:val="none"/>
          <w:u w:val="single"/>
        </w:rPr>
        <w:t>▲</w:t>
      </w:r>
      <w:r>
        <w:rPr>
          <w:rFonts w:hint="eastAsia" w:ascii="新宋体" w:hAnsi="新宋体" w:eastAsia="新宋体" w:cs="新宋体"/>
          <w:bCs/>
          <w:color w:val="auto"/>
          <w:sz w:val="22"/>
          <w:szCs w:val="22"/>
          <w:highlight w:val="none"/>
          <w:u w:val="single"/>
        </w:rPr>
        <w:t>不提供此表格视为没有实质性响应采购文件要求。</w:t>
      </w:r>
    </w:p>
    <w:p>
      <w:pPr>
        <w:spacing w:line="400" w:lineRule="exact"/>
        <w:ind w:firstLine="646" w:firstLineChars="294"/>
        <w:rPr>
          <w:rFonts w:hint="eastAsia" w:ascii="新宋体" w:hAnsi="新宋体" w:eastAsia="新宋体" w:cs="新宋体"/>
          <w:color w:val="auto"/>
          <w:sz w:val="22"/>
          <w:szCs w:val="22"/>
          <w:highlight w:val="none"/>
        </w:rPr>
      </w:pPr>
    </w:p>
    <w:p>
      <w:pPr>
        <w:spacing w:beforeLines="50" w:afterLines="50" w:line="360" w:lineRule="auto"/>
        <w:ind w:right="-21" w:rightChars="-10"/>
        <w:rPr>
          <w:rFonts w:hint="eastAsia" w:ascii="新宋体" w:hAnsi="新宋体" w:eastAsia="新宋体" w:cs="新宋体"/>
          <w:color w:val="auto"/>
          <w:sz w:val="22"/>
          <w:szCs w:val="22"/>
          <w:highlight w:val="none"/>
        </w:rPr>
      </w:pPr>
    </w:p>
    <w:p>
      <w:pPr>
        <w:spacing w:line="360" w:lineRule="auto"/>
        <w:ind w:right="-21" w:rightChars="-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供应商全称（公章）：</w:t>
      </w:r>
    </w:p>
    <w:p>
      <w:pPr>
        <w:spacing w:line="360" w:lineRule="auto"/>
        <w:ind w:right="-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w:t>
      </w: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spacing w:line="460" w:lineRule="exact"/>
        <w:ind w:left="22" w:hanging="22" w:hangingChars="8"/>
        <w:jc w:val="center"/>
        <w:rPr>
          <w:rFonts w:hint="eastAsia" w:ascii="新宋体" w:hAnsi="新宋体" w:eastAsia="新宋体" w:cs="新宋体"/>
          <w:b/>
          <w:bCs/>
          <w:color w:val="auto"/>
          <w:sz w:val="28"/>
          <w:szCs w:val="28"/>
          <w:highlight w:val="none"/>
        </w:rPr>
      </w:pPr>
    </w:p>
    <w:p>
      <w:pPr>
        <w:spacing w:line="460" w:lineRule="exact"/>
        <w:ind w:left="22" w:hanging="22" w:hangingChars="8"/>
        <w:jc w:val="center"/>
        <w:rPr>
          <w:rFonts w:hint="eastAsia" w:ascii="新宋体" w:hAnsi="新宋体" w:eastAsia="新宋体" w:cs="新宋体"/>
          <w:b/>
          <w:bCs/>
          <w:color w:val="auto"/>
          <w:sz w:val="28"/>
          <w:szCs w:val="28"/>
          <w:highlight w:val="none"/>
        </w:rPr>
      </w:pPr>
    </w:p>
    <w:p>
      <w:pPr>
        <w:spacing w:line="460" w:lineRule="exact"/>
        <w:rPr>
          <w:rFonts w:hint="eastAsia" w:ascii="新宋体" w:hAnsi="新宋体" w:eastAsia="新宋体" w:cs="新宋体"/>
          <w:b/>
          <w:bCs/>
          <w:color w:val="auto"/>
          <w:sz w:val="28"/>
          <w:szCs w:val="28"/>
          <w:highlight w:val="none"/>
        </w:rPr>
      </w:pPr>
    </w:p>
    <w:p>
      <w:pPr>
        <w:spacing w:line="460" w:lineRule="exact"/>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附件三</w:t>
      </w:r>
    </w:p>
    <w:p>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投标分项报价表</w:t>
      </w:r>
    </w:p>
    <w:p>
      <w:pPr>
        <w:rPr>
          <w:rFonts w:hint="eastAsia" w:ascii="新宋体" w:hAnsi="新宋体" w:eastAsia="新宋体" w:cs="新宋体"/>
          <w:color w:val="auto"/>
          <w:sz w:val="22"/>
          <w:szCs w:val="22"/>
          <w:highlight w:val="none"/>
        </w:rPr>
      </w:pPr>
    </w:p>
    <w:p>
      <w:pPr>
        <w:spacing w:line="380" w:lineRule="exact"/>
        <w:rPr>
          <w:rFonts w:hint="eastAsia" w:ascii="新宋体" w:hAnsi="新宋体" w:eastAsia="新宋体" w:cs="新宋体"/>
          <w:b/>
          <w:bCs/>
          <w:color w:val="auto"/>
          <w:sz w:val="22"/>
          <w:szCs w:val="22"/>
          <w:highlight w:val="none"/>
        </w:rPr>
      </w:pP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            （价格单位：人民币）                   采购编号：</w:t>
      </w:r>
    </w:p>
    <w:tbl>
      <w:tblPr>
        <w:tblStyle w:val="66"/>
        <w:tblW w:w="985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3218"/>
        <w:gridCol w:w="2233"/>
        <w:gridCol w:w="1277"/>
        <w:gridCol w:w="23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0" w:hRule="atLeast"/>
          <w:jc w:val="center"/>
        </w:trPr>
        <w:tc>
          <w:tcPr>
            <w:tcW w:w="757" w:type="dxa"/>
            <w:vAlign w:val="center"/>
          </w:tcPr>
          <w:p>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3218" w:type="dxa"/>
            <w:vAlign w:val="center"/>
          </w:tcPr>
          <w:p>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项目内容</w:t>
            </w:r>
          </w:p>
        </w:tc>
        <w:tc>
          <w:tcPr>
            <w:tcW w:w="3510" w:type="dxa"/>
            <w:gridSpan w:val="2"/>
            <w:vAlign w:val="center"/>
          </w:tcPr>
          <w:p>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费用（元）</w:t>
            </w:r>
          </w:p>
        </w:tc>
        <w:tc>
          <w:tcPr>
            <w:tcW w:w="2369" w:type="dxa"/>
            <w:vAlign w:val="center"/>
          </w:tcPr>
          <w:p>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757" w:type="dxa"/>
            <w:vAlign w:val="center"/>
          </w:tcPr>
          <w:p>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3218" w:type="dxa"/>
            <w:vAlign w:val="center"/>
          </w:tcPr>
          <w:p>
            <w:pPr>
              <w:spacing w:line="380" w:lineRule="exact"/>
              <w:rPr>
                <w:rFonts w:hint="eastAsia" w:ascii="新宋体" w:hAnsi="新宋体" w:eastAsia="新宋体" w:cs="新宋体"/>
                <w:bCs/>
                <w:color w:val="auto"/>
                <w:sz w:val="22"/>
                <w:szCs w:val="22"/>
                <w:highlight w:val="none"/>
              </w:rPr>
            </w:pPr>
          </w:p>
        </w:tc>
        <w:tc>
          <w:tcPr>
            <w:tcW w:w="3510" w:type="dxa"/>
            <w:gridSpan w:val="2"/>
            <w:vAlign w:val="center"/>
          </w:tcPr>
          <w:p>
            <w:pPr>
              <w:spacing w:line="380" w:lineRule="exact"/>
              <w:rPr>
                <w:rFonts w:hint="eastAsia" w:ascii="新宋体" w:hAnsi="新宋体" w:eastAsia="新宋体" w:cs="新宋体"/>
                <w:bCs/>
                <w:color w:val="auto"/>
                <w:sz w:val="22"/>
                <w:szCs w:val="22"/>
                <w:highlight w:val="none"/>
              </w:rPr>
            </w:pPr>
          </w:p>
        </w:tc>
        <w:tc>
          <w:tcPr>
            <w:tcW w:w="2369" w:type="dxa"/>
            <w:vAlign w:val="center"/>
          </w:tcPr>
          <w:p>
            <w:pPr>
              <w:spacing w:line="380" w:lineRule="exact"/>
              <w:rPr>
                <w:rFonts w:hint="eastAsia" w:ascii="新宋体" w:hAnsi="新宋体" w:eastAsia="新宋体" w:cs="新宋体"/>
                <w:b/>
                <w:bCs/>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757" w:type="dxa"/>
            <w:vAlign w:val="center"/>
          </w:tcPr>
          <w:p>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3218" w:type="dxa"/>
            <w:vAlign w:val="center"/>
          </w:tcPr>
          <w:p>
            <w:pPr>
              <w:spacing w:line="380" w:lineRule="exact"/>
              <w:rPr>
                <w:rFonts w:hint="eastAsia" w:ascii="新宋体" w:hAnsi="新宋体" w:eastAsia="新宋体" w:cs="新宋体"/>
                <w:bCs/>
                <w:color w:val="auto"/>
                <w:sz w:val="22"/>
                <w:szCs w:val="22"/>
                <w:highlight w:val="none"/>
              </w:rPr>
            </w:pPr>
          </w:p>
        </w:tc>
        <w:tc>
          <w:tcPr>
            <w:tcW w:w="3510" w:type="dxa"/>
            <w:gridSpan w:val="2"/>
            <w:vAlign w:val="center"/>
          </w:tcPr>
          <w:p>
            <w:pPr>
              <w:spacing w:line="380" w:lineRule="exact"/>
              <w:rPr>
                <w:rFonts w:hint="eastAsia" w:ascii="新宋体" w:hAnsi="新宋体" w:eastAsia="新宋体" w:cs="新宋体"/>
                <w:bCs/>
                <w:color w:val="auto"/>
                <w:sz w:val="22"/>
                <w:szCs w:val="22"/>
                <w:highlight w:val="none"/>
              </w:rPr>
            </w:pPr>
          </w:p>
        </w:tc>
        <w:tc>
          <w:tcPr>
            <w:tcW w:w="2369" w:type="dxa"/>
            <w:vAlign w:val="center"/>
          </w:tcPr>
          <w:p>
            <w:pPr>
              <w:spacing w:line="380" w:lineRule="exact"/>
              <w:rPr>
                <w:rFonts w:hint="eastAsia" w:ascii="新宋体" w:hAnsi="新宋体" w:eastAsia="新宋体" w:cs="新宋体"/>
                <w:b/>
                <w:bCs/>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757" w:type="dxa"/>
            <w:vAlign w:val="center"/>
          </w:tcPr>
          <w:p>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w:t>
            </w:r>
          </w:p>
        </w:tc>
        <w:tc>
          <w:tcPr>
            <w:tcW w:w="3218" w:type="dxa"/>
            <w:vAlign w:val="center"/>
          </w:tcPr>
          <w:p>
            <w:pPr>
              <w:spacing w:line="380" w:lineRule="exact"/>
              <w:rPr>
                <w:rFonts w:hint="eastAsia" w:ascii="新宋体" w:hAnsi="新宋体" w:eastAsia="新宋体" w:cs="新宋体"/>
                <w:bCs/>
                <w:color w:val="auto"/>
                <w:sz w:val="22"/>
                <w:szCs w:val="22"/>
                <w:highlight w:val="none"/>
              </w:rPr>
            </w:pPr>
          </w:p>
        </w:tc>
        <w:tc>
          <w:tcPr>
            <w:tcW w:w="3510" w:type="dxa"/>
            <w:gridSpan w:val="2"/>
            <w:vAlign w:val="center"/>
          </w:tcPr>
          <w:p>
            <w:pPr>
              <w:spacing w:line="380" w:lineRule="exact"/>
              <w:rPr>
                <w:rFonts w:hint="eastAsia" w:ascii="新宋体" w:hAnsi="新宋体" w:eastAsia="新宋体" w:cs="新宋体"/>
                <w:bCs/>
                <w:color w:val="auto"/>
                <w:sz w:val="22"/>
                <w:szCs w:val="22"/>
                <w:highlight w:val="none"/>
              </w:rPr>
            </w:pPr>
          </w:p>
        </w:tc>
        <w:tc>
          <w:tcPr>
            <w:tcW w:w="2369" w:type="dxa"/>
            <w:vAlign w:val="center"/>
          </w:tcPr>
          <w:p>
            <w:pPr>
              <w:spacing w:line="380" w:lineRule="exact"/>
              <w:rPr>
                <w:rFonts w:hint="eastAsia" w:ascii="新宋体" w:hAnsi="新宋体" w:eastAsia="新宋体" w:cs="新宋体"/>
                <w:b/>
                <w:bCs/>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757" w:type="dxa"/>
            <w:vAlign w:val="center"/>
          </w:tcPr>
          <w:p>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p>
        </w:tc>
        <w:tc>
          <w:tcPr>
            <w:tcW w:w="3218" w:type="dxa"/>
            <w:vAlign w:val="center"/>
          </w:tcPr>
          <w:p>
            <w:pPr>
              <w:spacing w:line="380" w:lineRule="exact"/>
              <w:rPr>
                <w:rFonts w:hint="eastAsia" w:ascii="新宋体" w:hAnsi="新宋体" w:eastAsia="新宋体" w:cs="新宋体"/>
                <w:bCs/>
                <w:color w:val="auto"/>
                <w:sz w:val="22"/>
                <w:szCs w:val="22"/>
                <w:highlight w:val="none"/>
              </w:rPr>
            </w:pPr>
          </w:p>
        </w:tc>
        <w:tc>
          <w:tcPr>
            <w:tcW w:w="3510" w:type="dxa"/>
            <w:gridSpan w:val="2"/>
            <w:vAlign w:val="center"/>
          </w:tcPr>
          <w:p>
            <w:pPr>
              <w:spacing w:line="380" w:lineRule="exact"/>
              <w:rPr>
                <w:rFonts w:hint="eastAsia" w:ascii="新宋体" w:hAnsi="新宋体" w:eastAsia="新宋体" w:cs="新宋体"/>
                <w:bCs/>
                <w:color w:val="auto"/>
                <w:sz w:val="22"/>
                <w:szCs w:val="22"/>
                <w:highlight w:val="none"/>
              </w:rPr>
            </w:pPr>
          </w:p>
        </w:tc>
        <w:tc>
          <w:tcPr>
            <w:tcW w:w="2369" w:type="dxa"/>
            <w:vAlign w:val="center"/>
          </w:tcPr>
          <w:p>
            <w:pPr>
              <w:spacing w:line="380" w:lineRule="exact"/>
              <w:rPr>
                <w:rFonts w:hint="eastAsia" w:ascii="新宋体" w:hAnsi="新宋体" w:eastAsia="新宋体" w:cs="新宋体"/>
                <w:b/>
                <w:bCs/>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757" w:type="dxa"/>
            <w:vAlign w:val="center"/>
          </w:tcPr>
          <w:p>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w:t>
            </w:r>
          </w:p>
        </w:tc>
        <w:tc>
          <w:tcPr>
            <w:tcW w:w="3218" w:type="dxa"/>
            <w:vAlign w:val="center"/>
          </w:tcPr>
          <w:p>
            <w:pPr>
              <w:spacing w:line="380" w:lineRule="exact"/>
              <w:rPr>
                <w:rFonts w:hint="eastAsia" w:ascii="新宋体" w:hAnsi="新宋体" w:eastAsia="新宋体" w:cs="新宋体"/>
                <w:bCs/>
                <w:color w:val="auto"/>
                <w:sz w:val="22"/>
                <w:szCs w:val="22"/>
                <w:highlight w:val="none"/>
              </w:rPr>
            </w:pPr>
          </w:p>
        </w:tc>
        <w:tc>
          <w:tcPr>
            <w:tcW w:w="3510" w:type="dxa"/>
            <w:gridSpan w:val="2"/>
            <w:vAlign w:val="center"/>
          </w:tcPr>
          <w:p>
            <w:pPr>
              <w:spacing w:line="380" w:lineRule="exact"/>
              <w:rPr>
                <w:rFonts w:hint="eastAsia" w:ascii="新宋体" w:hAnsi="新宋体" w:eastAsia="新宋体" w:cs="新宋体"/>
                <w:bCs/>
                <w:color w:val="auto"/>
                <w:sz w:val="22"/>
                <w:szCs w:val="22"/>
                <w:highlight w:val="none"/>
              </w:rPr>
            </w:pPr>
          </w:p>
        </w:tc>
        <w:tc>
          <w:tcPr>
            <w:tcW w:w="2369" w:type="dxa"/>
            <w:vAlign w:val="center"/>
          </w:tcPr>
          <w:p>
            <w:pPr>
              <w:spacing w:line="380" w:lineRule="exact"/>
              <w:rPr>
                <w:rFonts w:hint="eastAsia" w:ascii="新宋体" w:hAnsi="新宋体" w:eastAsia="新宋体" w:cs="新宋体"/>
                <w:b/>
                <w:bCs/>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757" w:type="dxa"/>
            <w:vAlign w:val="center"/>
          </w:tcPr>
          <w:p>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w:t>
            </w:r>
          </w:p>
        </w:tc>
        <w:tc>
          <w:tcPr>
            <w:tcW w:w="3218" w:type="dxa"/>
            <w:vAlign w:val="center"/>
          </w:tcPr>
          <w:p>
            <w:pPr>
              <w:spacing w:line="380" w:lineRule="exact"/>
              <w:rPr>
                <w:rFonts w:hint="eastAsia" w:ascii="新宋体" w:hAnsi="新宋体" w:eastAsia="新宋体" w:cs="新宋体"/>
                <w:bCs/>
                <w:color w:val="auto"/>
                <w:sz w:val="22"/>
                <w:szCs w:val="22"/>
                <w:highlight w:val="none"/>
              </w:rPr>
            </w:pPr>
          </w:p>
        </w:tc>
        <w:tc>
          <w:tcPr>
            <w:tcW w:w="3510" w:type="dxa"/>
            <w:gridSpan w:val="2"/>
            <w:vAlign w:val="center"/>
          </w:tcPr>
          <w:p>
            <w:pPr>
              <w:spacing w:line="380" w:lineRule="exact"/>
              <w:rPr>
                <w:rFonts w:hint="eastAsia" w:ascii="新宋体" w:hAnsi="新宋体" w:eastAsia="新宋体" w:cs="新宋体"/>
                <w:bCs/>
                <w:color w:val="auto"/>
                <w:sz w:val="22"/>
                <w:szCs w:val="22"/>
                <w:highlight w:val="none"/>
              </w:rPr>
            </w:pPr>
          </w:p>
        </w:tc>
        <w:tc>
          <w:tcPr>
            <w:tcW w:w="2369" w:type="dxa"/>
            <w:vAlign w:val="center"/>
          </w:tcPr>
          <w:p>
            <w:pPr>
              <w:spacing w:line="380" w:lineRule="exact"/>
              <w:rPr>
                <w:rFonts w:hint="eastAsia" w:ascii="新宋体" w:hAnsi="新宋体" w:eastAsia="新宋体" w:cs="新宋体"/>
                <w:b/>
                <w:bCs/>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757" w:type="dxa"/>
            <w:vAlign w:val="center"/>
          </w:tcPr>
          <w:p>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w:t>
            </w:r>
          </w:p>
        </w:tc>
        <w:tc>
          <w:tcPr>
            <w:tcW w:w="3218" w:type="dxa"/>
            <w:vAlign w:val="center"/>
          </w:tcPr>
          <w:p>
            <w:pPr>
              <w:spacing w:line="380" w:lineRule="exact"/>
              <w:rPr>
                <w:rFonts w:hint="eastAsia" w:ascii="新宋体" w:hAnsi="新宋体" w:eastAsia="新宋体" w:cs="新宋体"/>
                <w:bCs/>
                <w:color w:val="auto"/>
                <w:sz w:val="22"/>
                <w:szCs w:val="22"/>
                <w:highlight w:val="none"/>
              </w:rPr>
            </w:pPr>
          </w:p>
        </w:tc>
        <w:tc>
          <w:tcPr>
            <w:tcW w:w="3510" w:type="dxa"/>
            <w:gridSpan w:val="2"/>
            <w:vAlign w:val="center"/>
          </w:tcPr>
          <w:p>
            <w:pPr>
              <w:spacing w:line="380" w:lineRule="exact"/>
              <w:rPr>
                <w:rFonts w:hint="eastAsia" w:ascii="新宋体" w:hAnsi="新宋体" w:eastAsia="新宋体" w:cs="新宋体"/>
                <w:bCs/>
                <w:color w:val="auto"/>
                <w:sz w:val="22"/>
                <w:szCs w:val="22"/>
                <w:highlight w:val="none"/>
              </w:rPr>
            </w:pPr>
          </w:p>
        </w:tc>
        <w:tc>
          <w:tcPr>
            <w:tcW w:w="2369" w:type="dxa"/>
            <w:vAlign w:val="center"/>
          </w:tcPr>
          <w:p>
            <w:pPr>
              <w:spacing w:line="380" w:lineRule="exact"/>
              <w:rPr>
                <w:rFonts w:hint="eastAsia" w:ascii="新宋体" w:hAnsi="新宋体" w:eastAsia="新宋体" w:cs="新宋体"/>
                <w:b/>
                <w:bCs/>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757" w:type="dxa"/>
            <w:vAlign w:val="center"/>
          </w:tcPr>
          <w:p>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w:t>
            </w:r>
          </w:p>
        </w:tc>
        <w:tc>
          <w:tcPr>
            <w:tcW w:w="3218" w:type="dxa"/>
            <w:vAlign w:val="center"/>
          </w:tcPr>
          <w:p>
            <w:pPr>
              <w:spacing w:line="380" w:lineRule="exact"/>
              <w:rPr>
                <w:rFonts w:hint="eastAsia" w:ascii="新宋体" w:hAnsi="新宋体" w:eastAsia="新宋体" w:cs="新宋体"/>
                <w:bCs/>
                <w:color w:val="auto"/>
                <w:sz w:val="22"/>
                <w:szCs w:val="22"/>
                <w:highlight w:val="none"/>
              </w:rPr>
            </w:pPr>
          </w:p>
        </w:tc>
        <w:tc>
          <w:tcPr>
            <w:tcW w:w="3510" w:type="dxa"/>
            <w:gridSpan w:val="2"/>
            <w:vAlign w:val="center"/>
          </w:tcPr>
          <w:p>
            <w:pPr>
              <w:spacing w:line="380" w:lineRule="exact"/>
              <w:rPr>
                <w:rFonts w:hint="eastAsia" w:ascii="新宋体" w:hAnsi="新宋体" w:eastAsia="新宋体" w:cs="新宋体"/>
                <w:bCs/>
                <w:color w:val="auto"/>
                <w:sz w:val="22"/>
                <w:szCs w:val="22"/>
                <w:highlight w:val="none"/>
              </w:rPr>
            </w:pPr>
          </w:p>
        </w:tc>
        <w:tc>
          <w:tcPr>
            <w:tcW w:w="2369" w:type="dxa"/>
            <w:vAlign w:val="center"/>
          </w:tcPr>
          <w:p>
            <w:pPr>
              <w:spacing w:line="380" w:lineRule="exact"/>
              <w:rPr>
                <w:rFonts w:hint="eastAsia" w:ascii="新宋体" w:hAnsi="新宋体" w:eastAsia="新宋体" w:cs="新宋体"/>
                <w:b/>
                <w:bCs/>
                <w:color w:val="auto"/>
                <w:sz w:val="22"/>
                <w:szCs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6208" w:type="dxa"/>
            <w:gridSpan w:val="3"/>
            <w:vAlign w:val="center"/>
          </w:tcPr>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合计总价（大写）                元人民币 </w:t>
            </w:r>
          </w:p>
        </w:tc>
        <w:tc>
          <w:tcPr>
            <w:tcW w:w="3646" w:type="dxa"/>
            <w:gridSpan w:val="2"/>
            <w:vAlign w:val="center"/>
          </w:tcPr>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（小写）</w:t>
            </w:r>
          </w:p>
        </w:tc>
      </w:tr>
    </w:tbl>
    <w:p>
      <w:pPr>
        <w:spacing w:line="380" w:lineRule="exact"/>
        <w:rPr>
          <w:rFonts w:hint="eastAsia" w:ascii="新宋体" w:hAnsi="新宋体" w:eastAsia="新宋体" w:cs="新宋体"/>
          <w:b/>
          <w:bCs/>
          <w:color w:val="auto"/>
          <w:sz w:val="22"/>
          <w:szCs w:val="22"/>
          <w:highlight w:val="none"/>
        </w:rPr>
      </w:pPr>
    </w:p>
    <w:p>
      <w:pPr>
        <w:spacing w:line="380" w:lineRule="exact"/>
        <w:rPr>
          <w:rFonts w:hint="eastAsia" w:ascii="新宋体" w:hAnsi="新宋体" w:eastAsia="新宋体" w:cs="新宋体"/>
          <w:b/>
          <w:bCs/>
          <w:color w:val="auto"/>
          <w:sz w:val="22"/>
          <w:szCs w:val="22"/>
          <w:highlight w:val="none"/>
        </w:rPr>
      </w:pP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w:t>
      </w: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1. </w:t>
      </w:r>
      <w:r>
        <w:rPr>
          <w:rFonts w:hint="eastAsia" w:ascii="新宋体" w:hAnsi="新宋体" w:eastAsia="新宋体" w:cs="新宋体"/>
          <w:bCs/>
          <w:color w:val="auto"/>
          <w:szCs w:val="21"/>
          <w:highlight w:val="none"/>
          <w:u w:val="single"/>
        </w:rPr>
        <w:t>▲此栏内“合计总价”应与附件一“报价一览表”中“投标总价”相一致</w:t>
      </w:r>
      <w:r>
        <w:rPr>
          <w:rFonts w:hint="eastAsia" w:ascii="新宋体" w:hAnsi="新宋体" w:eastAsia="新宋体" w:cs="新宋体"/>
          <w:bCs/>
          <w:color w:val="auto"/>
          <w:sz w:val="22"/>
          <w:szCs w:val="22"/>
          <w:highlight w:val="none"/>
        </w:rPr>
        <w:t>。</w:t>
      </w: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Cs/>
          <w:color w:val="auto"/>
          <w:szCs w:val="21"/>
          <w:highlight w:val="none"/>
          <w:u w:val="single"/>
        </w:rPr>
        <w:t>▲</w:t>
      </w:r>
      <w:r>
        <w:rPr>
          <w:rFonts w:hint="eastAsia" w:ascii="新宋体" w:hAnsi="新宋体" w:eastAsia="新宋体" w:cs="新宋体"/>
          <w:bCs/>
          <w:color w:val="auto"/>
          <w:sz w:val="22"/>
          <w:szCs w:val="22"/>
          <w:highlight w:val="none"/>
          <w:u w:val="single"/>
        </w:rPr>
        <w:t>本表所列费用为本项目的全部费用，未列费用均为综合考虑。</w:t>
      </w: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3. </w:t>
      </w:r>
      <w:r>
        <w:rPr>
          <w:rFonts w:hint="eastAsia" w:ascii="新宋体" w:hAnsi="新宋体" w:eastAsia="新宋体" w:cs="新宋体"/>
          <w:bCs/>
          <w:color w:val="auto"/>
          <w:szCs w:val="21"/>
          <w:highlight w:val="none"/>
          <w:u w:val="single"/>
        </w:rPr>
        <w:t>▲</w:t>
      </w:r>
      <w:r>
        <w:rPr>
          <w:rFonts w:hint="eastAsia" w:ascii="新宋体" w:hAnsi="新宋体" w:eastAsia="新宋体" w:cs="新宋体"/>
          <w:bCs/>
          <w:color w:val="auto"/>
          <w:sz w:val="22"/>
          <w:szCs w:val="22"/>
          <w:highlight w:val="none"/>
          <w:u w:val="single"/>
        </w:rPr>
        <w:t>不提供此表的报价，视为没有实质性响应采购文件要求。</w:t>
      </w: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p>
    <w:p>
      <w:pPr>
        <w:spacing w:line="380" w:lineRule="exact"/>
        <w:rPr>
          <w:rFonts w:hint="eastAsia" w:ascii="新宋体" w:hAnsi="新宋体" w:eastAsia="新宋体" w:cs="新宋体"/>
          <w:b/>
          <w:bCs/>
          <w:color w:val="auto"/>
          <w:sz w:val="22"/>
          <w:szCs w:val="22"/>
          <w:highlight w:val="none"/>
        </w:rPr>
      </w:pPr>
    </w:p>
    <w:p>
      <w:pPr>
        <w:spacing w:line="380" w:lineRule="exact"/>
        <w:rPr>
          <w:rFonts w:hint="eastAsia" w:ascii="新宋体" w:hAnsi="新宋体" w:eastAsia="新宋体" w:cs="新宋体"/>
          <w:b/>
          <w:bCs/>
          <w:color w:val="auto"/>
          <w:sz w:val="22"/>
          <w:szCs w:val="22"/>
          <w:highlight w:val="none"/>
        </w:rPr>
      </w:pP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供应商全称（盖章）：</w:t>
      </w: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法定代表人或授权代表（签字或盖章）：</w:t>
      </w: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日 期：  年  月  日</w:t>
      </w:r>
    </w:p>
    <w:p>
      <w:pPr>
        <w:spacing w:line="380" w:lineRule="exact"/>
        <w:ind w:right="880"/>
        <w:jc w:val="center"/>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spacing w:line="460" w:lineRule="exact"/>
        <w:jc w:val="center"/>
        <w:rPr>
          <w:rFonts w:hint="eastAsia" w:ascii="新宋体" w:hAnsi="新宋体" w:eastAsia="新宋体" w:cs="新宋体"/>
          <w:b/>
          <w:bCs/>
          <w:color w:val="auto"/>
          <w:sz w:val="28"/>
          <w:szCs w:val="28"/>
          <w:highlight w:val="none"/>
        </w:rPr>
      </w:pPr>
    </w:p>
    <w:p>
      <w:pPr>
        <w:spacing w:line="460" w:lineRule="exact"/>
        <w:jc w:val="center"/>
        <w:rPr>
          <w:rFonts w:hint="eastAsia" w:ascii="新宋体" w:hAnsi="新宋体" w:eastAsia="新宋体" w:cs="新宋体"/>
          <w:b/>
          <w:bCs/>
          <w:color w:val="auto"/>
          <w:sz w:val="28"/>
          <w:szCs w:val="28"/>
          <w:highlight w:val="none"/>
        </w:rPr>
      </w:pPr>
    </w:p>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附件四</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60" w:lineRule="exact"/>
        <w:ind w:firstLine="437"/>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 xml:space="preserve">技术参数应答表、商务条款偏离表 </w:t>
      </w:r>
    </w:p>
    <w:p>
      <w:pPr>
        <w:spacing w:line="380" w:lineRule="exact"/>
        <w:rPr>
          <w:rFonts w:hint="eastAsia" w:ascii="新宋体" w:hAnsi="新宋体" w:eastAsia="新宋体" w:cs="新宋体"/>
          <w:b/>
          <w:bCs/>
          <w:color w:val="auto"/>
          <w:sz w:val="22"/>
          <w:szCs w:val="22"/>
          <w:highlight w:val="none"/>
        </w:rPr>
      </w:pPr>
    </w:p>
    <w:p>
      <w:pPr>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                                               编号：</w:t>
      </w:r>
    </w:p>
    <w:tbl>
      <w:tblPr>
        <w:tblStyle w:val="66"/>
        <w:tblW w:w="9854" w:type="dxa"/>
        <w:jc w:val="center"/>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943" w:type="dxa"/>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磋商文件</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条目号</w:t>
            </w: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磋商文件</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规范要求</w:t>
            </w: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磋商响应文件</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对应规范</w:t>
            </w: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943" w:type="dxa"/>
            <w:vMerge w:val="restart"/>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术</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w:t>
            </w: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943" w:type="dxa"/>
            <w:vMerge w:val="continue"/>
          </w:tcPr>
          <w:p>
            <w:pPr>
              <w:spacing w:line="380" w:lineRule="exact"/>
              <w:ind w:firstLine="220" w:firstLineChars="100"/>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943" w:type="dxa"/>
            <w:vMerge w:val="continue"/>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943" w:type="dxa"/>
            <w:vMerge w:val="continue"/>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943" w:type="dxa"/>
            <w:vMerge w:val="continue"/>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43" w:type="dxa"/>
            <w:vMerge w:val="restart"/>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商</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务</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w:t>
            </w:r>
          </w:p>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款</w:t>
            </w: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943" w:type="dxa"/>
            <w:vMerge w:val="continue"/>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943" w:type="dxa"/>
            <w:vMerge w:val="continue"/>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943" w:type="dxa"/>
            <w:vMerge w:val="continue"/>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943" w:type="dxa"/>
            <w:vMerge w:val="continue"/>
          </w:tcPr>
          <w:p>
            <w:pPr>
              <w:spacing w:line="380" w:lineRule="exact"/>
              <w:jc w:val="center"/>
              <w:rPr>
                <w:rFonts w:hint="eastAsia" w:ascii="新宋体" w:hAnsi="新宋体" w:eastAsia="新宋体" w:cs="新宋体"/>
                <w:color w:val="auto"/>
                <w:sz w:val="22"/>
                <w:szCs w:val="22"/>
                <w:highlight w:val="none"/>
              </w:rPr>
            </w:pPr>
          </w:p>
        </w:tc>
        <w:tc>
          <w:tcPr>
            <w:tcW w:w="1364" w:type="dxa"/>
            <w:vAlign w:val="center"/>
          </w:tcPr>
          <w:p>
            <w:pPr>
              <w:spacing w:line="380" w:lineRule="exact"/>
              <w:jc w:val="center"/>
              <w:rPr>
                <w:rFonts w:hint="eastAsia" w:ascii="新宋体" w:hAnsi="新宋体" w:eastAsia="新宋体" w:cs="新宋体"/>
                <w:color w:val="auto"/>
                <w:sz w:val="22"/>
                <w:szCs w:val="22"/>
                <w:highlight w:val="none"/>
              </w:rPr>
            </w:pPr>
          </w:p>
        </w:tc>
        <w:tc>
          <w:tcPr>
            <w:tcW w:w="2097" w:type="dxa"/>
            <w:vAlign w:val="center"/>
          </w:tcPr>
          <w:p>
            <w:pPr>
              <w:spacing w:line="380" w:lineRule="exact"/>
              <w:jc w:val="center"/>
              <w:rPr>
                <w:rFonts w:hint="eastAsia" w:ascii="新宋体" w:hAnsi="新宋体" w:eastAsia="新宋体" w:cs="新宋体"/>
                <w:color w:val="auto"/>
                <w:sz w:val="22"/>
                <w:szCs w:val="22"/>
                <w:highlight w:val="none"/>
              </w:rPr>
            </w:pPr>
          </w:p>
        </w:tc>
        <w:tc>
          <w:tcPr>
            <w:tcW w:w="1992" w:type="dxa"/>
            <w:vAlign w:val="center"/>
          </w:tcPr>
          <w:p>
            <w:pPr>
              <w:spacing w:line="380" w:lineRule="exact"/>
              <w:jc w:val="center"/>
              <w:rPr>
                <w:rFonts w:hint="eastAsia" w:ascii="新宋体" w:hAnsi="新宋体" w:eastAsia="新宋体" w:cs="新宋体"/>
                <w:color w:val="auto"/>
                <w:sz w:val="22"/>
                <w:szCs w:val="22"/>
                <w:highlight w:val="none"/>
              </w:rPr>
            </w:pPr>
          </w:p>
        </w:tc>
        <w:tc>
          <w:tcPr>
            <w:tcW w:w="1866" w:type="dxa"/>
            <w:vAlign w:val="center"/>
          </w:tcPr>
          <w:p>
            <w:pPr>
              <w:spacing w:line="380" w:lineRule="exact"/>
              <w:jc w:val="center"/>
              <w:rPr>
                <w:rFonts w:hint="eastAsia" w:ascii="新宋体" w:hAnsi="新宋体" w:eastAsia="新宋体" w:cs="新宋体"/>
                <w:color w:val="auto"/>
                <w:sz w:val="22"/>
                <w:szCs w:val="22"/>
                <w:highlight w:val="none"/>
              </w:rPr>
            </w:pPr>
          </w:p>
        </w:tc>
        <w:tc>
          <w:tcPr>
            <w:tcW w:w="1592" w:type="dxa"/>
            <w:vAlign w:val="center"/>
          </w:tcPr>
          <w:p>
            <w:pPr>
              <w:spacing w:line="380" w:lineRule="exact"/>
              <w:jc w:val="center"/>
              <w:rPr>
                <w:rFonts w:hint="eastAsia" w:ascii="新宋体" w:hAnsi="新宋体" w:eastAsia="新宋体" w:cs="新宋体"/>
                <w:color w:val="auto"/>
                <w:sz w:val="22"/>
                <w:szCs w:val="22"/>
                <w:highlight w:val="none"/>
              </w:rPr>
            </w:pPr>
          </w:p>
        </w:tc>
      </w:tr>
    </w:tbl>
    <w:p>
      <w:pPr>
        <w:spacing w:line="38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注：如有偏离，必须在偏离表中进行详细对比说明并注明正偏离和负偏离，如不说明偏离情况，视为完全响应采购文件要求无偏离</w:t>
      </w:r>
      <w:r>
        <w:rPr>
          <w:rFonts w:hint="eastAsia" w:ascii="新宋体" w:hAnsi="新宋体" w:eastAsia="新宋体" w:cs="新宋体"/>
          <w:b/>
          <w:color w:val="auto"/>
          <w:highlight w:val="none"/>
        </w:rPr>
        <w:t>。</w:t>
      </w:r>
    </w:p>
    <w:p>
      <w:pPr>
        <w:spacing w:line="380" w:lineRule="exact"/>
        <w:ind w:firstLine="4417" w:firstLineChars="2000"/>
        <w:rPr>
          <w:rFonts w:hint="eastAsia" w:ascii="新宋体" w:hAnsi="新宋体" w:eastAsia="新宋体" w:cs="新宋体"/>
          <w:b/>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法定代表人授权代表（签字或盖章）：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日期：  年   月  日 </w:t>
      </w:r>
    </w:p>
    <w:p>
      <w:pPr>
        <w:spacing w:line="460" w:lineRule="exact"/>
        <w:rPr>
          <w:rFonts w:hint="eastAsia" w:ascii="新宋体" w:hAnsi="新宋体" w:eastAsia="新宋体" w:cs="新宋体"/>
          <w:color w:val="auto"/>
          <w:sz w:val="22"/>
          <w:szCs w:val="22"/>
          <w:highlight w:val="none"/>
        </w:rPr>
      </w:pP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color w:val="auto"/>
          <w:sz w:val="28"/>
          <w:szCs w:val="28"/>
          <w:highlight w:val="none"/>
        </w:rPr>
        <w:t>资 格 文 件</w:t>
      </w:r>
    </w:p>
    <w:p>
      <w:pPr>
        <w:overflowPunct w:val="0"/>
        <w:spacing w:line="460" w:lineRule="exact"/>
        <w:ind w:firstLine="108" w:firstLineChars="4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（1）企业/事业单位法人有效营业执照、税务登记证（如为多证合一仅需提供营业执照）；</w:t>
      </w:r>
    </w:p>
    <w:p>
      <w:pPr>
        <w:overflowPunct w:val="0"/>
        <w:spacing w:line="460" w:lineRule="exact"/>
        <w:ind w:firstLine="108" w:firstLineChars="4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（2）最近一个年度的资产负债表等财务报表资料文件(新成立的公司，必须提供情况说明)；</w:t>
      </w:r>
    </w:p>
    <w:p>
      <w:pPr>
        <w:tabs>
          <w:tab w:val="left" w:pos="840"/>
        </w:tabs>
        <w:overflowPunct w:val="0"/>
        <w:spacing w:line="460" w:lineRule="exact"/>
        <w:ind w:left="42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（3）资格文件中及技术资信标中要求的其它资格证明材料;</w:t>
      </w:r>
    </w:p>
    <w:p>
      <w:pPr>
        <w:overflowPunct w:val="0"/>
        <w:spacing w:line="460" w:lineRule="exact"/>
        <w:ind w:firstLine="108" w:firstLineChars="49"/>
        <w:rPr>
          <w:rFonts w:hint="eastAsia" w:ascii="新宋体" w:hAnsi="新宋体" w:eastAsia="新宋体" w:cs="新宋体"/>
          <w:b/>
          <w:bCs/>
          <w:color w:val="auto"/>
          <w:sz w:val="22"/>
          <w:szCs w:val="22"/>
          <w:highlight w:val="none"/>
        </w:rPr>
      </w:pPr>
    </w:p>
    <w:p>
      <w:pPr>
        <w:overflowPunct w:val="0"/>
        <w:spacing w:line="460" w:lineRule="exact"/>
        <w:rPr>
          <w:rFonts w:hint="eastAsia" w:ascii="新宋体" w:hAnsi="新宋体" w:eastAsia="新宋体" w:cs="新宋体"/>
          <w:b/>
          <w:bCs/>
          <w:color w:val="auto"/>
          <w:sz w:val="22"/>
          <w:szCs w:val="22"/>
          <w:highlight w:val="none"/>
        </w:rPr>
      </w:pPr>
    </w:p>
    <w:p>
      <w:pPr>
        <w:overflowPunct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以上证书、材料若为复印件，须加盖投标供应商公章。</w:t>
      </w:r>
    </w:p>
    <w:p>
      <w:pPr>
        <w:widowControl/>
        <w:adjustRightInd w:val="0"/>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bCs/>
          <w:color w:val="auto"/>
          <w:sz w:val="22"/>
          <w:szCs w:val="22"/>
          <w:highlight w:val="none"/>
        </w:rPr>
        <w:t xml:space="preserve">（4）             </w:t>
      </w:r>
      <w:r>
        <w:rPr>
          <w:rFonts w:hint="eastAsia" w:ascii="新宋体" w:hAnsi="新宋体" w:eastAsia="新宋体" w:cs="新宋体"/>
          <w:b/>
          <w:bCs/>
          <w:color w:val="auto"/>
          <w:sz w:val="28"/>
          <w:szCs w:val="28"/>
          <w:highlight w:val="none"/>
        </w:rPr>
        <w:t xml:space="preserve"> </w:t>
      </w:r>
      <w:r>
        <w:rPr>
          <w:rFonts w:hint="eastAsia" w:ascii="新宋体" w:hAnsi="新宋体" w:eastAsia="新宋体" w:cs="新宋体"/>
          <w:b/>
          <w:color w:val="auto"/>
          <w:kern w:val="0"/>
          <w:sz w:val="28"/>
          <w:szCs w:val="28"/>
          <w:highlight w:val="none"/>
        </w:rPr>
        <w:t>具有履行合同所必需的设备和专业技术能力的承诺函</w:t>
      </w:r>
    </w:p>
    <w:p>
      <w:pPr>
        <w:widowControl/>
        <w:adjustRightInd w:val="0"/>
        <w:snapToGrid w:val="0"/>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u w:val="single"/>
        </w:rPr>
        <w:t>（采购人）</w:t>
      </w:r>
      <w:r>
        <w:rPr>
          <w:rFonts w:hint="eastAsia" w:ascii="新宋体" w:hAnsi="新宋体" w:eastAsia="新宋体" w:cs="新宋体"/>
          <w:color w:val="auto"/>
          <w:kern w:val="0"/>
          <w:sz w:val="22"/>
          <w:szCs w:val="22"/>
          <w:highlight w:val="none"/>
        </w:rPr>
        <w:t>：</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w:t>
      </w:r>
      <w:r>
        <w:rPr>
          <w:rFonts w:hint="eastAsia" w:ascii="新宋体" w:hAnsi="新宋体" w:eastAsia="新宋体" w:cs="新宋体"/>
          <w:color w:val="auto"/>
          <w:kern w:val="0"/>
          <w:sz w:val="22"/>
          <w:szCs w:val="22"/>
          <w:highlight w:val="none"/>
          <w:u w:val="single"/>
        </w:rPr>
        <w:t xml:space="preserve"> （供应商）</w:t>
      </w:r>
      <w:r>
        <w:rPr>
          <w:rFonts w:hint="eastAsia" w:ascii="新宋体" w:hAnsi="新宋体" w:eastAsia="新宋体" w:cs="新宋体"/>
          <w:color w:val="auto"/>
          <w:kern w:val="0"/>
          <w:sz w:val="22"/>
          <w:szCs w:val="22"/>
          <w:highlight w:val="none"/>
        </w:rPr>
        <w:t>承诺具有履行合同所必需的设备和专业技术能力。如有虚假，采购人可取消我方任何资格（投标/中标/签订合同），我方对此无任何异议。</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spacing w:line="480" w:lineRule="auto"/>
        <w:ind w:left="1260" w:hanging="559"/>
        <w:rPr>
          <w:rFonts w:hint="eastAsia" w:ascii="新宋体" w:hAnsi="新宋体" w:eastAsia="新宋体" w:cs="新宋体"/>
          <w:b/>
          <w:bCs/>
          <w:color w:val="auto"/>
          <w:sz w:val="22"/>
          <w:szCs w:val="22"/>
          <w:highlight w:val="none"/>
        </w:rPr>
      </w:pPr>
    </w:p>
    <w:p>
      <w:pPr>
        <w:widowControl/>
        <w:adjustRightInd w:val="0"/>
        <w:snapToGrid w:val="0"/>
        <w:spacing w:line="360" w:lineRule="auto"/>
        <w:jc w:val="center"/>
        <w:rPr>
          <w:rFonts w:hint="eastAsia" w:ascii="新宋体" w:hAnsi="新宋体" w:eastAsia="新宋体" w:cs="新宋体"/>
          <w:b/>
          <w:color w:val="auto"/>
          <w:kern w:val="0"/>
          <w:sz w:val="32"/>
          <w:szCs w:val="21"/>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bCs/>
          <w:color w:val="auto"/>
          <w:sz w:val="22"/>
          <w:szCs w:val="22"/>
          <w:highlight w:val="none"/>
        </w:rPr>
      </w:pPr>
    </w:p>
    <w:p>
      <w:pPr>
        <w:widowControl/>
        <w:adjustRightInd w:val="0"/>
        <w:snapToGrid w:val="0"/>
        <w:spacing w:line="360" w:lineRule="auto"/>
        <w:rPr>
          <w:rFonts w:hint="eastAsia" w:ascii="新宋体" w:hAnsi="新宋体" w:eastAsia="新宋体" w:cs="新宋体"/>
          <w:b/>
          <w:color w:val="auto"/>
          <w:kern w:val="0"/>
          <w:sz w:val="28"/>
          <w:szCs w:val="28"/>
          <w:highlight w:val="none"/>
        </w:rPr>
      </w:pPr>
      <w:r>
        <w:rPr>
          <w:rFonts w:hint="eastAsia" w:ascii="新宋体" w:hAnsi="新宋体" w:eastAsia="新宋体" w:cs="新宋体"/>
          <w:b/>
          <w:bCs/>
          <w:color w:val="auto"/>
          <w:sz w:val="22"/>
          <w:szCs w:val="22"/>
          <w:highlight w:val="none"/>
        </w:rPr>
        <w:t xml:space="preserve">（5）       </w:t>
      </w:r>
      <w:r>
        <w:rPr>
          <w:rFonts w:hint="eastAsia" w:ascii="新宋体" w:hAnsi="新宋体" w:eastAsia="新宋体" w:cs="新宋体"/>
          <w:b/>
          <w:color w:val="auto"/>
          <w:kern w:val="0"/>
          <w:sz w:val="28"/>
          <w:szCs w:val="28"/>
          <w:highlight w:val="none"/>
        </w:rPr>
        <w:t>参加政府采购活动前3年内在经营活动中没有重大违法记录的</w:t>
      </w:r>
    </w:p>
    <w:p>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声明函</w:t>
      </w:r>
    </w:p>
    <w:p>
      <w:pPr>
        <w:widowControl/>
        <w:adjustRightInd w:val="0"/>
        <w:snapToGrid w:val="0"/>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u w:val="single"/>
        </w:rPr>
        <w:t>（采购人）</w:t>
      </w:r>
      <w:r>
        <w:rPr>
          <w:rFonts w:hint="eastAsia" w:ascii="新宋体" w:hAnsi="新宋体" w:eastAsia="新宋体" w:cs="新宋体"/>
          <w:color w:val="auto"/>
          <w:kern w:val="0"/>
          <w:sz w:val="22"/>
          <w:szCs w:val="22"/>
          <w:highlight w:val="none"/>
        </w:rPr>
        <w:t>：</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我方</w:t>
      </w:r>
      <w:r>
        <w:rPr>
          <w:rFonts w:hint="eastAsia" w:ascii="新宋体" w:hAnsi="新宋体" w:eastAsia="新宋体" w:cs="新宋体"/>
          <w:color w:val="auto"/>
          <w:kern w:val="0"/>
          <w:sz w:val="22"/>
          <w:szCs w:val="22"/>
          <w:highlight w:val="none"/>
          <w:u w:val="single"/>
        </w:rPr>
        <w:t xml:space="preserve"> （供应商）</w:t>
      </w:r>
      <w:r>
        <w:rPr>
          <w:rFonts w:hint="eastAsia" w:ascii="新宋体" w:hAnsi="新宋体" w:eastAsia="新宋体" w:cs="新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供应商名称（盖章） ：</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color w:val="auto"/>
          <w:sz w:val="22"/>
          <w:szCs w:val="22"/>
          <w:highlight w:val="none"/>
        </w:rPr>
        <w:t xml:space="preserve">附件六      </w:t>
      </w: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资信证明文件</w:t>
      </w:r>
    </w:p>
    <w:bookmarkEnd w:id="2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Pr>
        <w:spacing w:line="5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(1)法定代表人授权书</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温州医科大学附属口腔医院：</w:t>
      </w:r>
    </w:p>
    <w:p>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浙江省成套招标代理有限公司：</w:t>
      </w:r>
    </w:p>
    <w:p>
      <w:pPr>
        <w:spacing w:line="460" w:lineRule="exact"/>
        <w:rPr>
          <w:rFonts w:hint="eastAsia" w:ascii="新宋体" w:hAnsi="新宋体" w:eastAsia="新宋体" w:cs="新宋体"/>
          <w:color w:val="auto"/>
          <w:sz w:val="22"/>
          <w:szCs w:val="22"/>
          <w:highlight w:val="none"/>
        </w:rPr>
      </w:pPr>
    </w:p>
    <w:p>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（供应商全称）法定代表人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（采购项目名称、编号）的采购活动，全权代表我方处理采购活动中的一切事宜。</w:t>
      </w:r>
    </w:p>
    <w:p>
      <w:pPr>
        <w:spacing w:line="460" w:lineRule="exact"/>
        <w:ind w:firstLine="2955"/>
        <w:rPr>
          <w:rFonts w:hint="eastAsia" w:ascii="新宋体" w:hAnsi="新宋体" w:eastAsia="新宋体" w:cs="新宋体"/>
          <w:color w:val="auto"/>
          <w:sz w:val="22"/>
          <w:szCs w:val="22"/>
          <w:highlight w:val="none"/>
        </w:rPr>
      </w:pP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460" w:lineRule="exact"/>
        <w:ind w:firstLine="3971" w:firstLineChars="180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 (签字或盖章)：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供应商全称（公章）：</w:t>
      </w:r>
    </w:p>
    <w:p>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pPr>
        <w:spacing w:line="460" w:lineRule="exact"/>
        <w:rPr>
          <w:rFonts w:hint="eastAsia" w:ascii="新宋体" w:hAnsi="新宋体" w:eastAsia="新宋体" w:cs="新宋体"/>
          <w:color w:val="auto"/>
          <w:sz w:val="22"/>
          <w:szCs w:val="22"/>
          <w:highlight w:val="none"/>
        </w:rPr>
      </w:pP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pPr>
        <w:spacing w:line="460" w:lineRule="exact"/>
        <w:rPr>
          <w:rFonts w:hint="eastAsia" w:ascii="新宋体" w:hAnsi="新宋体" w:eastAsia="新宋体" w:cs="新宋体"/>
          <w:color w:val="auto"/>
          <w:sz w:val="22"/>
          <w:szCs w:val="22"/>
          <w:highlight w:val="none"/>
        </w:rPr>
      </w:pPr>
    </w:p>
    <w:tbl>
      <w:tblPr>
        <w:tblStyle w:val="66"/>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trPr>
        <w:tc>
          <w:tcPr>
            <w:tcW w:w="4864" w:type="dxa"/>
            <w:vAlign w:val="center"/>
          </w:tcPr>
          <w:p>
            <w:pPr>
              <w:spacing w:line="3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供应商代表身份证复印件</w:t>
            </w:r>
          </w:p>
          <w:p>
            <w:pPr>
              <w:spacing w:line="380" w:lineRule="exact"/>
              <w:jc w:val="center"/>
              <w:rPr>
                <w:rFonts w:hint="eastAsia" w:ascii="新宋体" w:hAnsi="新宋体" w:eastAsia="新宋体" w:cs="新宋体"/>
                <w:color w:val="auto"/>
                <w:sz w:val="22"/>
                <w:szCs w:val="22"/>
                <w:highlight w:val="none"/>
              </w:rPr>
            </w:pPr>
          </w:p>
        </w:tc>
      </w:tr>
    </w:tbl>
    <w:p>
      <w:pPr>
        <w:snapToGrid w:val="0"/>
        <w:spacing w:line="480" w:lineRule="auto"/>
        <w:rPr>
          <w:rFonts w:hint="eastAsia" w:ascii="新宋体" w:hAnsi="新宋体" w:eastAsia="新宋体" w:cs="新宋体"/>
          <w:color w:val="auto"/>
          <w:highlight w:val="none"/>
        </w:rPr>
      </w:pPr>
    </w:p>
    <w:p>
      <w:pPr>
        <w:snapToGrid w:val="0"/>
        <w:spacing w:line="480" w:lineRule="auto"/>
        <w:rPr>
          <w:rFonts w:hint="eastAsia" w:ascii="新宋体" w:hAnsi="新宋体" w:eastAsia="新宋体" w:cs="新宋体"/>
          <w:color w:val="auto"/>
          <w:highlight w:val="none"/>
        </w:rPr>
      </w:pPr>
    </w:p>
    <w:p>
      <w:pPr>
        <w:spacing w:line="380" w:lineRule="exact"/>
        <w:rPr>
          <w:rFonts w:hint="eastAsia" w:ascii="新宋体" w:hAnsi="新宋体" w:eastAsia="新宋体" w:cs="新宋体"/>
          <w:b/>
          <w:color w:val="auto"/>
          <w:sz w:val="28"/>
          <w:highlight w:val="none"/>
        </w:rPr>
      </w:pPr>
      <w:r>
        <w:rPr>
          <w:rFonts w:hint="eastAsia" w:ascii="新宋体" w:hAnsi="新宋体" w:eastAsia="新宋体" w:cs="新宋体"/>
          <w:b/>
          <w:color w:val="auto"/>
          <w:sz w:val="28"/>
          <w:highlight w:val="none"/>
        </w:rPr>
        <w:t>附件七</w:t>
      </w:r>
    </w:p>
    <w:p>
      <w:pPr>
        <w:jc w:val="center"/>
        <w:rPr>
          <w:rFonts w:hint="eastAsia" w:ascii="新宋体" w:hAnsi="新宋体" w:eastAsia="新宋体" w:cs="新宋体"/>
          <w:b/>
          <w:color w:val="auto"/>
          <w:sz w:val="28"/>
          <w:highlight w:val="none"/>
        </w:rPr>
      </w:pPr>
      <w:r>
        <w:rPr>
          <w:rFonts w:hint="eastAsia" w:ascii="新宋体" w:hAnsi="新宋体" w:eastAsia="新宋体" w:cs="新宋体"/>
          <w:b/>
          <w:color w:val="auto"/>
          <w:sz w:val="28"/>
          <w:highlight w:val="none"/>
        </w:rPr>
        <w:t>投标供应商简介</w:t>
      </w:r>
    </w:p>
    <w:tbl>
      <w:tblPr>
        <w:tblStyle w:val="66"/>
        <w:tblW w:w="98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523"/>
        <w:gridCol w:w="540"/>
        <w:gridCol w:w="860"/>
        <w:gridCol w:w="1769"/>
        <w:gridCol w:w="28"/>
        <w:gridCol w:w="1530"/>
        <w:gridCol w:w="418"/>
        <w:gridCol w:w="14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40" w:type="dxa"/>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企业名称</w:t>
            </w:r>
          </w:p>
        </w:tc>
        <w:tc>
          <w:tcPr>
            <w:tcW w:w="8114" w:type="dxa"/>
            <w:gridSpan w:val="8"/>
            <w:vAlign w:val="center"/>
          </w:tcPr>
          <w:p>
            <w:pPr>
              <w:spacing w:line="360" w:lineRule="exac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740" w:type="dxa"/>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企业总人数</w:t>
            </w:r>
          </w:p>
        </w:tc>
        <w:tc>
          <w:tcPr>
            <w:tcW w:w="8114" w:type="dxa"/>
            <w:gridSpan w:val="8"/>
            <w:vAlign w:val="center"/>
          </w:tcPr>
          <w:p>
            <w:pPr>
              <w:spacing w:line="360" w:lineRule="exac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40" w:type="dxa"/>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所有制类别</w:t>
            </w:r>
          </w:p>
        </w:tc>
        <w:tc>
          <w:tcPr>
            <w:tcW w:w="1523" w:type="dxa"/>
            <w:vAlign w:val="center"/>
          </w:tcPr>
          <w:p>
            <w:pPr>
              <w:spacing w:line="360" w:lineRule="exact"/>
              <w:jc w:val="center"/>
              <w:rPr>
                <w:rFonts w:hint="eastAsia" w:ascii="新宋体" w:hAnsi="新宋体" w:eastAsia="新宋体" w:cs="新宋体"/>
                <w:color w:val="auto"/>
                <w:sz w:val="22"/>
                <w:szCs w:val="22"/>
                <w:highlight w:val="none"/>
              </w:rPr>
            </w:pPr>
          </w:p>
        </w:tc>
        <w:tc>
          <w:tcPr>
            <w:tcW w:w="1400" w:type="dxa"/>
            <w:gridSpan w:val="2"/>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组建时间</w:t>
            </w:r>
          </w:p>
        </w:tc>
        <w:tc>
          <w:tcPr>
            <w:tcW w:w="5191" w:type="dxa"/>
            <w:gridSpan w:val="5"/>
            <w:vAlign w:val="center"/>
          </w:tcPr>
          <w:p>
            <w:pPr>
              <w:spacing w:line="360" w:lineRule="exac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0" w:type="dxa"/>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资质等级</w:t>
            </w:r>
          </w:p>
        </w:tc>
        <w:tc>
          <w:tcPr>
            <w:tcW w:w="1523" w:type="dxa"/>
            <w:vAlign w:val="center"/>
          </w:tcPr>
          <w:p>
            <w:pPr>
              <w:spacing w:line="360" w:lineRule="exact"/>
              <w:jc w:val="center"/>
              <w:rPr>
                <w:rFonts w:hint="eastAsia" w:ascii="新宋体" w:hAnsi="新宋体" w:eastAsia="新宋体" w:cs="新宋体"/>
                <w:color w:val="auto"/>
                <w:sz w:val="22"/>
                <w:szCs w:val="22"/>
                <w:highlight w:val="none"/>
              </w:rPr>
            </w:pPr>
          </w:p>
        </w:tc>
        <w:tc>
          <w:tcPr>
            <w:tcW w:w="1400" w:type="dxa"/>
            <w:gridSpan w:val="2"/>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证号</w:t>
            </w:r>
          </w:p>
        </w:tc>
        <w:tc>
          <w:tcPr>
            <w:tcW w:w="1769" w:type="dxa"/>
            <w:vAlign w:val="center"/>
          </w:tcPr>
          <w:p>
            <w:pPr>
              <w:spacing w:line="360" w:lineRule="exact"/>
              <w:jc w:val="center"/>
              <w:rPr>
                <w:rFonts w:hint="eastAsia" w:ascii="新宋体" w:hAnsi="新宋体" w:eastAsia="新宋体" w:cs="新宋体"/>
                <w:color w:val="auto"/>
                <w:sz w:val="22"/>
                <w:szCs w:val="22"/>
                <w:highlight w:val="none"/>
              </w:rPr>
            </w:pPr>
          </w:p>
        </w:tc>
        <w:tc>
          <w:tcPr>
            <w:tcW w:w="1976" w:type="dxa"/>
            <w:gridSpan w:val="3"/>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发证单位</w:t>
            </w:r>
          </w:p>
        </w:tc>
        <w:tc>
          <w:tcPr>
            <w:tcW w:w="1446" w:type="dxa"/>
            <w:vAlign w:val="center"/>
          </w:tcPr>
          <w:p>
            <w:pPr>
              <w:spacing w:line="360" w:lineRule="exac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740" w:type="dxa"/>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w:t>
            </w:r>
          </w:p>
        </w:tc>
        <w:tc>
          <w:tcPr>
            <w:tcW w:w="2063" w:type="dxa"/>
            <w:gridSpan w:val="2"/>
            <w:vAlign w:val="center"/>
          </w:tcPr>
          <w:p>
            <w:pPr>
              <w:spacing w:line="360" w:lineRule="exact"/>
              <w:jc w:val="center"/>
              <w:rPr>
                <w:rFonts w:hint="eastAsia" w:ascii="新宋体" w:hAnsi="新宋体" w:eastAsia="新宋体" w:cs="新宋体"/>
                <w:color w:val="auto"/>
                <w:sz w:val="22"/>
                <w:szCs w:val="22"/>
                <w:highlight w:val="none"/>
              </w:rPr>
            </w:pPr>
          </w:p>
        </w:tc>
        <w:tc>
          <w:tcPr>
            <w:tcW w:w="860" w:type="dxa"/>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帐号</w:t>
            </w:r>
          </w:p>
        </w:tc>
        <w:tc>
          <w:tcPr>
            <w:tcW w:w="1769" w:type="dxa"/>
            <w:vAlign w:val="center"/>
          </w:tcPr>
          <w:p>
            <w:pPr>
              <w:spacing w:line="360" w:lineRule="exact"/>
              <w:jc w:val="center"/>
              <w:rPr>
                <w:rFonts w:hint="eastAsia" w:ascii="新宋体" w:hAnsi="新宋体" w:eastAsia="新宋体" w:cs="新宋体"/>
                <w:color w:val="auto"/>
                <w:sz w:val="22"/>
                <w:szCs w:val="22"/>
                <w:highlight w:val="none"/>
              </w:rPr>
            </w:pPr>
          </w:p>
        </w:tc>
        <w:tc>
          <w:tcPr>
            <w:tcW w:w="1976" w:type="dxa"/>
            <w:gridSpan w:val="3"/>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c>
          <w:tcPr>
            <w:tcW w:w="1446" w:type="dxa"/>
            <w:vAlign w:val="center"/>
          </w:tcPr>
          <w:p>
            <w:pPr>
              <w:spacing w:line="360" w:lineRule="exact"/>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740" w:type="dxa"/>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资金情况</w:t>
            </w:r>
          </w:p>
        </w:tc>
        <w:tc>
          <w:tcPr>
            <w:tcW w:w="8114" w:type="dxa"/>
            <w:gridSpan w:val="8"/>
            <w:vAlign w:val="center"/>
          </w:tcPr>
          <w:p>
            <w:pPr>
              <w:spacing w:line="3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企业注册资金     万元，</w:t>
            </w:r>
          </w:p>
          <w:p>
            <w:pPr>
              <w:spacing w:line="3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其中固定资金     万元，</w:t>
            </w:r>
          </w:p>
          <w:p>
            <w:pPr>
              <w:spacing w:line="3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      万元，</w:t>
            </w:r>
          </w:p>
          <w:p>
            <w:pPr>
              <w:spacing w:line="3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流动资金中自有资金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740" w:type="dxa"/>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经营范围</w:t>
            </w:r>
          </w:p>
        </w:tc>
        <w:tc>
          <w:tcPr>
            <w:tcW w:w="4720" w:type="dxa"/>
            <w:gridSpan w:val="5"/>
          </w:tcPr>
          <w:p>
            <w:pPr>
              <w:spacing w:line="360" w:lineRule="exact"/>
              <w:rPr>
                <w:rFonts w:hint="eastAsia" w:ascii="新宋体" w:hAnsi="新宋体" w:eastAsia="新宋体" w:cs="新宋体"/>
                <w:color w:val="auto"/>
                <w:sz w:val="22"/>
                <w:szCs w:val="22"/>
                <w:highlight w:val="none"/>
              </w:rPr>
            </w:pPr>
          </w:p>
        </w:tc>
        <w:tc>
          <w:tcPr>
            <w:tcW w:w="1530" w:type="dxa"/>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发证单位</w:t>
            </w:r>
          </w:p>
        </w:tc>
        <w:tc>
          <w:tcPr>
            <w:tcW w:w="1864" w:type="dxa"/>
            <w:gridSpan w:val="2"/>
          </w:tcPr>
          <w:p>
            <w:pPr>
              <w:spacing w:line="360" w:lineRule="exact"/>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39" w:hRule="atLeast"/>
          <w:jc w:val="center"/>
        </w:trPr>
        <w:tc>
          <w:tcPr>
            <w:tcW w:w="1740" w:type="dxa"/>
            <w:vAlign w:val="center"/>
          </w:tcPr>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组织</w:t>
            </w:r>
          </w:p>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机构</w:t>
            </w:r>
          </w:p>
          <w:p>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框图</w:t>
            </w:r>
          </w:p>
        </w:tc>
        <w:tc>
          <w:tcPr>
            <w:tcW w:w="8114" w:type="dxa"/>
            <w:gridSpan w:val="8"/>
          </w:tcPr>
          <w:p>
            <w:pPr>
              <w:spacing w:line="3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（不够可另加附件补充。）</w:t>
            </w:r>
          </w:p>
        </w:tc>
      </w:tr>
    </w:tbl>
    <w:p>
      <w:pPr>
        <w:spacing w:line="360" w:lineRule="auto"/>
        <w:ind w:right="-21" w:rightChars="-10" w:firstLine="3960" w:firstLineChars="1650"/>
        <w:rPr>
          <w:rFonts w:hint="eastAsia" w:ascii="新宋体" w:hAnsi="新宋体" w:eastAsia="新宋体" w:cs="新宋体"/>
          <w:color w:val="auto"/>
          <w:sz w:val="24"/>
          <w:highlight w:val="none"/>
        </w:rPr>
      </w:pP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投标供应商全称（公章）：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w:t>
      </w:r>
    </w:p>
    <w:p>
      <w:pPr>
        <w:spacing w:line="380" w:lineRule="exact"/>
        <w:rPr>
          <w:rFonts w:hint="eastAsia" w:ascii="新宋体" w:hAnsi="新宋体" w:eastAsia="新宋体" w:cs="新宋体"/>
          <w:b/>
          <w:bCs/>
          <w:color w:val="auto"/>
          <w:sz w:val="22"/>
          <w:szCs w:val="22"/>
          <w:highlight w:val="none"/>
        </w:rPr>
      </w:pP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360" w:lineRule="auto"/>
        <w:rPr>
          <w:rFonts w:hint="eastAsia" w:ascii="新宋体" w:hAnsi="新宋体" w:eastAsia="新宋体" w:cs="新宋体"/>
          <w:color w:val="auto"/>
          <w:sz w:val="22"/>
          <w:szCs w:val="22"/>
          <w:highlight w:val="none"/>
        </w:rPr>
      </w:pPr>
    </w:p>
    <w:p>
      <w:pPr>
        <w:spacing w:line="360" w:lineRule="auto"/>
        <w:rPr>
          <w:rFonts w:hint="eastAsia" w:ascii="新宋体" w:hAnsi="新宋体" w:eastAsia="新宋体" w:cs="新宋体"/>
          <w:color w:val="auto"/>
          <w:sz w:val="22"/>
          <w:szCs w:val="22"/>
          <w:highlight w:val="none"/>
        </w:rPr>
      </w:pP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附件八</w:t>
      </w:r>
    </w:p>
    <w:p>
      <w:pPr>
        <w:spacing w:line="380" w:lineRule="exact"/>
        <w:jc w:val="center"/>
        <w:rPr>
          <w:rFonts w:hint="eastAsia" w:ascii="新宋体" w:hAnsi="新宋体" w:eastAsia="新宋体" w:cs="新宋体"/>
          <w:color w:val="auto"/>
          <w:sz w:val="32"/>
          <w:szCs w:val="3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32"/>
          <w:szCs w:val="32"/>
          <w:highlight w:val="none"/>
        </w:rPr>
        <w:t xml:space="preserve">(1)供应商为完成本项目组建的工作小组名单 </w:t>
      </w:r>
    </w:p>
    <w:p>
      <w:pPr>
        <w:pStyle w:val="383"/>
        <w:spacing w:afterLines="50"/>
        <w:jc w:val="center"/>
        <w:rPr>
          <w:rFonts w:hint="eastAsia" w:ascii="新宋体" w:hAnsi="新宋体" w:eastAsia="新宋体" w:cs="新宋体"/>
          <w:sz w:val="30"/>
          <w:szCs w:val="30"/>
          <w:highlight w:val="none"/>
        </w:rPr>
      </w:pPr>
      <w:r>
        <w:rPr>
          <w:rFonts w:hint="eastAsia" w:ascii="新宋体" w:hAnsi="新宋体" w:eastAsia="新宋体" w:cs="新宋体"/>
          <w:b/>
          <w:sz w:val="28"/>
          <w:highlight w:val="none"/>
        </w:rPr>
        <w:t>1.</w:t>
      </w:r>
      <w:r>
        <w:rPr>
          <w:rFonts w:hint="eastAsia" w:ascii="新宋体" w:hAnsi="新宋体" w:eastAsia="新宋体" w:cs="新宋体"/>
          <w:sz w:val="30"/>
          <w:szCs w:val="30"/>
          <w:highlight w:val="none"/>
        </w:rPr>
        <w:t>拟委任的主要人员汇总表</w:t>
      </w:r>
    </w:p>
    <w:tbl>
      <w:tblPr>
        <w:tblStyle w:val="66"/>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644"/>
        <w:gridCol w:w="1864"/>
        <w:gridCol w:w="1344"/>
        <w:gridCol w:w="1721"/>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641" w:type="dxa"/>
            <w:vAlign w:val="center"/>
          </w:tcPr>
          <w:p>
            <w:pPr>
              <w:autoSpaceDE w:val="0"/>
              <w:autoSpaceDN w:val="0"/>
              <w:adjustRightInd w:val="0"/>
              <w:spacing w:line="360" w:lineRule="auto"/>
              <w:jc w:val="center"/>
              <w:rPr>
                <w:rFonts w:hint="eastAsia" w:ascii="新宋体" w:hAnsi="新宋体" w:eastAsia="新宋体" w:cs="新宋体"/>
                <w:color w:val="auto"/>
                <w:kern w:val="0"/>
                <w:sz w:val="22"/>
                <w:szCs w:val="22"/>
                <w:highlight w:val="none"/>
              </w:rPr>
            </w:pPr>
            <w:bookmarkStart w:id="78" w:name="_Toc309996252"/>
            <w:bookmarkStart w:id="79" w:name="_Toc309048441"/>
            <w:r>
              <w:rPr>
                <w:rFonts w:hint="eastAsia" w:ascii="新宋体" w:hAnsi="新宋体" w:eastAsia="新宋体" w:cs="新宋体"/>
                <w:color w:val="auto"/>
                <w:kern w:val="0"/>
                <w:sz w:val="22"/>
                <w:szCs w:val="22"/>
                <w:highlight w:val="none"/>
              </w:rPr>
              <w:t>姓 名</w:t>
            </w:r>
            <w:bookmarkEnd w:id="78"/>
            <w:bookmarkEnd w:id="79"/>
          </w:p>
        </w:tc>
        <w:tc>
          <w:tcPr>
            <w:tcW w:w="1644" w:type="dxa"/>
            <w:vAlign w:val="center"/>
          </w:tcPr>
          <w:p>
            <w:pPr>
              <w:autoSpaceDE w:val="0"/>
              <w:autoSpaceDN w:val="0"/>
              <w:adjustRightInd w:val="0"/>
              <w:spacing w:line="360" w:lineRule="auto"/>
              <w:jc w:val="center"/>
              <w:rPr>
                <w:rFonts w:hint="eastAsia" w:ascii="新宋体" w:hAnsi="新宋体" w:eastAsia="新宋体" w:cs="新宋体"/>
                <w:color w:val="auto"/>
                <w:kern w:val="0"/>
                <w:sz w:val="22"/>
                <w:szCs w:val="22"/>
                <w:highlight w:val="none"/>
              </w:rPr>
            </w:pPr>
            <w:bookmarkStart w:id="80" w:name="_Toc309048442"/>
            <w:bookmarkStart w:id="81" w:name="_Toc309996253"/>
            <w:r>
              <w:rPr>
                <w:rFonts w:hint="eastAsia" w:ascii="新宋体" w:hAnsi="新宋体" w:eastAsia="新宋体" w:cs="新宋体"/>
                <w:color w:val="auto"/>
                <w:kern w:val="0"/>
                <w:sz w:val="22"/>
                <w:szCs w:val="22"/>
                <w:highlight w:val="none"/>
              </w:rPr>
              <w:t>年龄</w:t>
            </w:r>
            <w:bookmarkEnd w:id="80"/>
            <w:bookmarkEnd w:id="81"/>
          </w:p>
        </w:tc>
        <w:tc>
          <w:tcPr>
            <w:tcW w:w="1864" w:type="dxa"/>
            <w:vAlign w:val="center"/>
          </w:tcPr>
          <w:p>
            <w:pPr>
              <w:autoSpaceDE w:val="0"/>
              <w:autoSpaceDN w:val="0"/>
              <w:adjustRightInd w:val="0"/>
              <w:jc w:val="center"/>
              <w:rPr>
                <w:rFonts w:hint="eastAsia" w:ascii="新宋体" w:hAnsi="新宋体" w:eastAsia="新宋体" w:cs="新宋体"/>
                <w:color w:val="auto"/>
                <w:kern w:val="0"/>
                <w:sz w:val="22"/>
                <w:szCs w:val="22"/>
                <w:highlight w:val="none"/>
              </w:rPr>
            </w:pPr>
            <w:bookmarkStart w:id="82" w:name="_Toc309048443"/>
            <w:bookmarkStart w:id="83" w:name="_Toc309996254"/>
            <w:r>
              <w:rPr>
                <w:rFonts w:hint="eastAsia" w:ascii="新宋体" w:hAnsi="新宋体" w:eastAsia="新宋体" w:cs="新宋体"/>
                <w:color w:val="auto"/>
                <w:kern w:val="0"/>
                <w:sz w:val="22"/>
                <w:szCs w:val="22"/>
                <w:highlight w:val="none"/>
              </w:rPr>
              <w:t>拟在本项目中担任的职责</w:t>
            </w:r>
            <w:bookmarkEnd w:id="82"/>
            <w:bookmarkEnd w:id="83"/>
          </w:p>
        </w:tc>
        <w:tc>
          <w:tcPr>
            <w:tcW w:w="1344" w:type="dxa"/>
            <w:vAlign w:val="center"/>
          </w:tcPr>
          <w:p>
            <w:pPr>
              <w:autoSpaceDE w:val="0"/>
              <w:autoSpaceDN w:val="0"/>
              <w:adjustRightInd w:val="0"/>
              <w:spacing w:line="360" w:lineRule="auto"/>
              <w:jc w:val="center"/>
              <w:rPr>
                <w:rFonts w:hint="eastAsia" w:ascii="新宋体" w:hAnsi="新宋体" w:eastAsia="新宋体" w:cs="新宋体"/>
                <w:color w:val="auto"/>
                <w:kern w:val="0"/>
                <w:sz w:val="22"/>
                <w:szCs w:val="22"/>
                <w:highlight w:val="none"/>
              </w:rPr>
            </w:pPr>
            <w:bookmarkStart w:id="84" w:name="_Toc309996255"/>
            <w:bookmarkStart w:id="85" w:name="_Toc309048444"/>
            <w:r>
              <w:rPr>
                <w:rFonts w:hint="eastAsia" w:ascii="新宋体" w:hAnsi="新宋体" w:eastAsia="新宋体" w:cs="新宋体"/>
                <w:color w:val="auto"/>
                <w:kern w:val="0"/>
                <w:sz w:val="22"/>
                <w:szCs w:val="22"/>
                <w:highlight w:val="none"/>
              </w:rPr>
              <w:t>技术职称</w:t>
            </w:r>
            <w:bookmarkEnd w:id="84"/>
            <w:bookmarkEnd w:id="85"/>
          </w:p>
        </w:tc>
        <w:tc>
          <w:tcPr>
            <w:tcW w:w="1721" w:type="dxa"/>
            <w:vAlign w:val="center"/>
          </w:tcPr>
          <w:p>
            <w:pPr>
              <w:autoSpaceDE w:val="0"/>
              <w:autoSpaceDN w:val="0"/>
              <w:adjustRightInd w:val="0"/>
              <w:spacing w:line="360" w:lineRule="auto"/>
              <w:jc w:val="center"/>
              <w:rPr>
                <w:rFonts w:hint="eastAsia" w:ascii="新宋体" w:hAnsi="新宋体" w:eastAsia="新宋体" w:cs="新宋体"/>
                <w:color w:val="auto"/>
                <w:kern w:val="0"/>
                <w:sz w:val="22"/>
                <w:szCs w:val="22"/>
                <w:highlight w:val="none"/>
              </w:rPr>
            </w:pPr>
            <w:bookmarkStart w:id="86" w:name="_Toc309996256"/>
            <w:bookmarkStart w:id="87" w:name="_Toc309048445"/>
            <w:r>
              <w:rPr>
                <w:rFonts w:hint="eastAsia" w:ascii="新宋体" w:hAnsi="新宋体" w:eastAsia="新宋体" w:cs="新宋体"/>
                <w:color w:val="auto"/>
                <w:kern w:val="0"/>
                <w:sz w:val="22"/>
                <w:szCs w:val="22"/>
                <w:highlight w:val="none"/>
              </w:rPr>
              <w:t>工作年限</w:t>
            </w:r>
            <w:bookmarkEnd w:id="86"/>
            <w:bookmarkEnd w:id="87"/>
          </w:p>
        </w:tc>
        <w:tc>
          <w:tcPr>
            <w:tcW w:w="1640" w:type="dxa"/>
            <w:vAlign w:val="center"/>
          </w:tcPr>
          <w:p>
            <w:pPr>
              <w:autoSpaceDE w:val="0"/>
              <w:autoSpaceDN w:val="0"/>
              <w:adjustRightInd w:val="0"/>
              <w:jc w:val="center"/>
              <w:rPr>
                <w:rFonts w:hint="eastAsia" w:ascii="新宋体" w:hAnsi="新宋体" w:eastAsia="新宋体" w:cs="新宋体"/>
                <w:color w:val="auto"/>
                <w:kern w:val="0"/>
                <w:sz w:val="22"/>
                <w:szCs w:val="22"/>
                <w:highlight w:val="none"/>
              </w:rPr>
            </w:pPr>
            <w:bookmarkStart w:id="88" w:name="_Toc309996257"/>
            <w:bookmarkStart w:id="89" w:name="_Toc309048446"/>
            <w:r>
              <w:rPr>
                <w:rFonts w:hint="eastAsia" w:ascii="新宋体" w:hAnsi="新宋体" w:eastAsia="新宋体" w:cs="新宋体"/>
                <w:color w:val="auto"/>
                <w:kern w:val="0"/>
                <w:sz w:val="22"/>
                <w:szCs w:val="22"/>
                <w:highlight w:val="none"/>
              </w:rPr>
              <w:t>类似工作经验年限</w:t>
            </w:r>
            <w:bookmarkEnd w:id="88"/>
            <w:bookmarkEnd w:id="8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64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86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3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72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0"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64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86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3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72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0"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64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86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3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72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0"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64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86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3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72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0"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64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86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3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72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0"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64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86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3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72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0"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64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86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3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72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0"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64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86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3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72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0"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64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86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3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72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0"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64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86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344"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721"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c>
          <w:tcPr>
            <w:tcW w:w="1640" w:type="dxa"/>
            <w:vAlign w:val="center"/>
          </w:tcPr>
          <w:p>
            <w:pPr>
              <w:autoSpaceDE w:val="0"/>
              <w:autoSpaceDN w:val="0"/>
              <w:adjustRightInd w:val="0"/>
              <w:spacing w:line="360" w:lineRule="auto"/>
              <w:jc w:val="center"/>
              <w:rPr>
                <w:rFonts w:hint="eastAsia" w:ascii="新宋体" w:hAnsi="新宋体" w:eastAsia="新宋体" w:cs="新宋体"/>
                <w:color w:val="auto"/>
                <w:sz w:val="22"/>
                <w:szCs w:val="22"/>
                <w:highlight w:val="none"/>
              </w:rPr>
            </w:pPr>
          </w:p>
        </w:tc>
      </w:tr>
    </w:tbl>
    <w:p>
      <w:pPr>
        <w:autoSpaceDE w:val="0"/>
        <w:autoSpaceDN w:val="0"/>
        <w:adjustRightInd w:val="0"/>
        <w:ind w:left="860" w:leftChars="200" w:hanging="440" w:hangingChars="200"/>
        <w:jc w:val="left"/>
        <w:rPr>
          <w:rFonts w:hint="eastAsia" w:ascii="新宋体" w:hAnsi="新宋体" w:eastAsia="新宋体" w:cs="新宋体"/>
          <w:color w:val="auto"/>
          <w:kern w:val="0"/>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日期：  年   月  日  </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pStyle w:val="28"/>
        <w:tabs>
          <w:tab w:val="left" w:pos="0"/>
          <w:tab w:val="left" w:pos="540"/>
        </w:tabs>
        <w:spacing w:line="340" w:lineRule="exact"/>
        <w:rPr>
          <w:rFonts w:hint="eastAsia" w:ascii="新宋体" w:hAnsi="新宋体" w:eastAsia="新宋体" w:cs="新宋体"/>
          <w:color w:val="auto"/>
          <w:sz w:val="22"/>
          <w:highlight w:val="none"/>
        </w:rPr>
      </w:pPr>
    </w:p>
    <w:p>
      <w:pPr>
        <w:pStyle w:val="383"/>
        <w:spacing w:afterLines="50"/>
        <w:jc w:val="center"/>
        <w:rPr>
          <w:rFonts w:hint="eastAsia" w:ascii="新宋体" w:hAnsi="新宋体" w:eastAsia="新宋体" w:cs="新宋体"/>
          <w:sz w:val="30"/>
          <w:szCs w:val="30"/>
          <w:highlight w:val="none"/>
        </w:rPr>
      </w:pPr>
      <w:r>
        <w:rPr>
          <w:rFonts w:hint="eastAsia" w:ascii="新宋体" w:hAnsi="新宋体" w:eastAsia="新宋体" w:cs="新宋体"/>
          <w:b/>
          <w:sz w:val="28"/>
          <w:highlight w:val="none"/>
        </w:rPr>
        <w:br w:type="page"/>
      </w:r>
      <w:bookmarkStart w:id="90" w:name="_Toc313092397"/>
      <w:r>
        <w:rPr>
          <w:rFonts w:hint="eastAsia" w:ascii="新宋体" w:hAnsi="新宋体" w:eastAsia="新宋体" w:cs="新宋体"/>
          <w:sz w:val="30"/>
          <w:szCs w:val="30"/>
          <w:highlight w:val="none"/>
        </w:rPr>
        <w:t>(2)主要人员资历表</w:t>
      </w:r>
      <w:bookmarkEnd w:id="90"/>
    </w:p>
    <w:tbl>
      <w:tblPr>
        <w:tblStyle w:val="66"/>
        <w:tblW w:w="9198" w:type="dxa"/>
        <w:jc w:val="center"/>
        <w:tblInd w:w="0" w:type="dxa"/>
        <w:tblLayout w:type="fixed"/>
        <w:tblCellMar>
          <w:top w:w="0" w:type="dxa"/>
          <w:left w:w="108" w:type="dxa"/>
          <w:bottom w:w="0" w:type="dxa"/>
          <w:right w:w="108" w:type="dxa"/>
        </w:tblCellMar>
      </w:tblPr>
      <w:tblGrid>
        <w:gridCol w:w="729"/>
        <w:gridCol w:w="814"/>
        <w:gridCol w:w="834"/>
        <w:gridCol w:w="766"/>
        <w:gridCol w:w="926"/>
        <w:gridCol w:w="824"/>
        <w:gridCol w:w="346"/>
        <w:gridCol w:w="315"/>
        <w:gridCol w:w="721"/>
        <w:gridCol w:w="506"/>
        <w:gridCol w:w="842"/>
        <w:gridCol w:w="1575"/>
      </w:tblGrid>
      <w:tr>
        <w:tblPrEx>
          <w:tblLayout w:type="fixed"/>
          <w:tblCellMar>
            <w:top w:w="0" w:type="dxa"/>
            <w:left w:w="108" w:type="dxa"/>
            <w:bottom w:w="0" w:type="dxa"/>
            <w:right w:w="108" w:type="dxa"/>
          </w:tblCellMar>
        </w:tblPrEx>
        <w:trPr>
          <w:trHeight w:val="680" w:hRule="atLeast"/>
          <w:jc w:val="center"/>
        </w:trPr>
        <w:tc>
          <w:tcPr>
            <w:tcW w:w="9198" w:type="dxa"/>
            <w:gridSpan w:val="12"/>
            <w:tcBorders>
              <w:top w:val="single" w:color="000000" w:sz="12" w:space="0"/>
              <w:left w:val="single" w:color="000000" w:sz="12" w:space="0"/>
              <w:bottom w:val="single" w:color="000000" w:sz="6" w:space="0"/>
              <w:right w:val="single" w:color="000000" w:sz="12" w:space="0"/>
            </w:tcBorders>
            <w:vAlign w:val="center"/>
          </w:tcPr>
          <w:p>
            <w:pPr>
              <w:pStyle w:val="316"/>
              <w:jc w:val="center"/>
              <w:rPr>
                <w:rFonts w:hint="eastAsia" w:ascii="新宋体" w:hAnsi="新宋体" w:eastAsia="新宋体" w:cs="新宋体"/>
                <w:color w:val="auto"/>
                <w:sz w:val="22"/>
                <w:szCs w:val="22"/>
                <w:highlight w:val="none"/>
              </w:rPr>
            </w:pPr>
            <w:bookmarkStart w:id="91" w:name="_Toc309996259"/>
            <w:bookmarkStart w:id="92" w:name="_Toc309048448"/>
            <w:r>
              <w:rPr>
                <w:rFonts w:hint="eastAsia" w:ascii="新宋体" w:hAnsi="新宋体" w:eastAsia="新宋体" w:cs="新宋体"/>
                <w:color w:val="auto"/>
                <w:sz w:val="22"/>
                <w:szCs w:val="22"/>
                <w:highlight w:val="none"/>
              </w:rPr>
              <w:t>1．一般情况</w:t>
            </w:r>
            <w:bookmarkEnd w:id="91"/>
            <w:bookmarkEnd w:id="92"/>
          </w:p>
        </w:tc>
      </w:tr>
      <w:tr>
        <w:tblPrEx>
          <w:tblLayout w:type="fixed"/>
          <w:tblCellMar>
            <w:top w:w="0" w:type="dxa"/>
            <w:left w:w="108" w:type="dxa"/>
            <w:bottom w:w="0" w:type="dxa"/>
            <w:right w:w="108" w:type="dxa"/>
          </w:tblCellMar>
        </w:tblPrEx>
        <w:trPr>
          <w:trHeight w:val="694" w:hRule="atLeast"/>
          <w:jc w:val="center"/>
        </w:trPr>
        <w:tc>
          <w:tcPr>
            <w:tcW w:w="729" w:type="dxa"/>
            <w:tcBorders>
              <w:top w:val="single" w:color="000000" w:sz="6" w:space="0"/>
              <w:left w:val="single" w:color="000000" w:sz="12"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bookmarkStart w:id="93" w:name="_Toc309996260"/>
            <w:bookmarkStart w:id="94" w:name="_Toc309048449"/>
            <w:r>
              <w:rPr>
                <w:rFonts w:hint="eastAsia" w:ascii="新宋体" w:hAnsi="新宋体" w:eastAsia="新宋体" w:cs="新宋体"/>
                <w:color w:val="auto"/>
                <w:sz w:val="22"/>
                <w:szCs w:val="22"/>
                <w:highlight w:val="none"/>
              </w:rPr>
              <w:t>姓名</w:t>
            </w:r>
            <w:bookmarkEnd w:id="93"/>
            <w:bookmarkEnd w:id="94"/>
          </w:p>
        </w:tc>
        <w:tc>
          <w:tcPr>
            <w:tcW w:w="814" w:type="dxa"/>
            <w:tcBorders>
              <w:top w:val="single" w:color="000000" w:sz="6" w:space="0"/>
              <w:left w:val="single" w:color="000000" w:sz="4"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p>
        </w:tc>
        <w:tc>
          <w:tcPr>
            <w:tcW w:w="834" w:type="dxa"/>
            <w:tcBorders>
              <w:top w:val="single" w:color="000000" w:sz="6" w:space="0"/>
              <w:left w:val="single" w:color="000000" w:sz="4"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bookmarkStart w:id="95" w:name="_Toc309996261"/>
            <w:bookmarkStart w:id="96" w:name="_Toc309048450"/>
            <w:r>
              <w:rPr>
                <w:rFonts w:hint="eastAsia" w:ascii="新宋体" w:hAnsi="新宋体" w:eastAsia="新宋体" w:cs="新宋体"/>
                <w:color w:val="auto"/>
                <w:sz w:val="22"/>
                <w:szCs w:val="22"/>
                <w:highlight w:val="none"/>
              </w:rPr>
              <w:t>性别</w:t>
            </w:r>
            <w:bookmarkEnd w:id="95"/>
            <w:bookmarkEnd w:id="96"/>
          </w:p>
        </w:tc>
        <w:tc>
          <w:tcPr>
            <w:tcW w:w="766" w:type="dxa"/>
            <w:tcBorders>
              <w:top w:val="single" w:color="000000" w:sz="6" w:space="0"/>
              <w:left w:val="single" w:color="000000" w:sz="4"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p>
        </w:tc>
        <w:tc>
          <w:tcPr>
            <w:tcW w:w="926" w:type="dxa"/>
            <w:tcBorders>
              <w:top w:val="single" w:color="000000" w:sz="6" w:space="0"/>
              <w:left w:val="single" w:color="000000" w:sz="4"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bookmarkStart w:id="97" w:name="_Toc309996262"/>
            <w:bookmarkStart w:id="98" w:name="_Toc309048451"/>
            <w:r>
              <w:rPr>
                <w:rFonts w:hint="eastAsia" w:ascii="新宋体" w:hAnsi="新宋体" w:eastAsia="新宋体" w:cs="新宋体"/>
                <w:color w:val="auto"/>
                <w:sz w:val="22"/>
                <w:szCs w:val="22"/>
                <w:highlight w:val="none"/>
              </w:rPr>
              <w:t>年龄</w:t>
            </w:r>
            <w:bookmarkEnd w:id="97"/>
            <w:bookmarkEnd w:id="98"/>
          </w:p>
        </w:tc>
        <w:tc>
          <w:tcPr>
            <w:tcW w:w="824" w:type="dxa"/>
            <w:tcBorders>
              <w:top w:val="single" w:color="000000" w:sz="6" w:space="0"/>
              <w:left w:val="single" w:color="000000" w:sz="4"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p>
        </w:tc>
        <w:tc>
          <w:tcPr>
            <w:tcW w:w="661" w:type="dxa"/>
            <w:gridSpan w:val="2"/>
            <w:tcBorders>
              <w:top w:val="single" w:color="000000" w:sz="6" w:space="0"/>
              <w:left w:val="single" w:color="000000" w:sz="4"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bookmarkStart w:id="99" w:name="_Toc309048452"/>
            <w:bookmarkStart w:id="100" w:name="_Toc309996263"/>
            <w:r>
              <w:rPr>
                <w:rFonts w:hint="eastAsia" w:ascii="新宋体" w:hAnsi="新宋体" w:eastAsia="新宋体" w:cs="新宋体"/>
                <w:color w:val="auto"/>
                <w:sz w:val="22"/>
                <w:szCs w:val="22"/>
                <w:highlight w:val="none"/>
              </w:rPr>
              <w:t>学位</w:t>
            </w:r>
            <w:bookmarkEnd w:id="99"/>
            <w:bookmarkEnd w:id="100"/>
          </w:p>
        </w:tc>
        <w:tc>
          <w:tcPr>
            <w:tcW w:w="721" w:type="dxa"/>
            <w:tcBorders>
              <w:top w:val="single" w:color="000000" w:sz="6" w:space="0"/>
              <w:left w:val="single" w:color="000000" w:sz="4"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p>
        </w:tc>
        <w:tc>
          <w:tcPr>
            <w:tcW w:w="1348" w:type="dxa"/>
            <w:gridSpan w:val="2"/>
            <w:tcBorders>
              <w:top w:val="single" w:color="000000" w:sz="6" w:space="0"/>
              <w:left w:val="single" w:color="000000" w:sz="4"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bookmarkStart w:id="101" w:name="_Toc309996264"/>
            <w:bookmarkStart w:id="102" w:name="_Toc309048453"/>
            <w:r>
              <w:rPr>
                <w:rFonts w:hint="eastAsia" w:ascii="新宋体" w:hAnsi="新宋体" w:eastAsia="新宋体" w:cs="新宋体"/>
                <w:color w:val="auto"/>
                <w:sz w:val="22"/>
                <w:szCs w:val="22"/>
                <w:highlight w:val="none"/>
              </w:rPr>
              <w:t>身份证号码</w:t>
            </w:r>
            <w:bookmarkEnd w:id="101"/>
            <w:bookmarkEnd w:id="102"/>
          </w:p>
        </w:tc>
        <w:tc>
          <w:tcPr>
            <w:tcW w:w="1575" w:type="dxa"/>
            <w:tcBorders>
              <w:top w:val="single" w:color="000000" w:sz="6" w:space="0"/>
              <w:left w:val="single" w:color="000000" w:sz="4" w:space="0"/>
              <w:bottom w:val="single" w:color="000000" w:sz="6" w:space="0"/>
              <w:right w:val="single" w:color="000000" w:sz="12" w:space="0"/>
            </w:tcBorders>
            <w:vAlign w:val="center"/>
          </w:tcPr>
          <w:p>
            <w:pPr>
              <w:pStyle w:val="316"/>
              <w:jc w:val="center"/>
              <w:rPr>
                <w:rFonts w:hint="eastAsia" w:ascii="新宋体" w:hAnsi="新宋体" w:eastAsia="新宋体" w:cs="新宋体"/>
                <w:color w:val="auto"/>
                <w:sz w:val="22"/>
                <w:szCs w:val="22"/>
                <w:highlight w:val="none"/>
              </w:rPr>
            </w:pPr>
          </w:p>
        </w:tc>
      </w:tr>
      <w:tr>
        <w:tblPrEx>
          <w:tblLayout w:type="fixed"/>
          <w:tblCellMar>
            <w:top w:w="0" w:type="dxa"/>
            <w:left w:w="108" w:type="dxa"/>
            <w:bottom w:w="0" w:type="dxa"/>
            <w:right w:w="108" w:type="dxa"/>
          </w:tblCellMar>
        </w:tblPrEx>
        <w:trPr>
          <w:trHeight w:val="694" w:hRule="atLeast"/>
          <w:jc w:val="center"/>
        </w:trPr>
        <w:tc>
          <w:tcPr>
            <w:tcW w:w="729" w:type="dxa"/>
            <w:tcBorders>
              <w:top w:val="single" w:color="000000" w:sz="6" w:space="0"/>
              <w:left w:val="single" w:color="000000" w:sz="12"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bookmarkStart w:id="103" w:name="_Toc309996265"/>
            <w:bookmarkStart w:id="104" w:name="_Toc309048454"/>
            <w:r>
              <w:rPr>
                <w:rFonts w:hint="eastAsia" w:ascii="新宋体" w:hAnsi="新宋体" w:eastAsia="新宋体" w:cs="新宋体"/>
                <w:color w:val="auto"/>
                <w:sz w:val="22"/>
                <w:szCs w:val="22"/>
                <w:highlight w:val="none"/>
              </w:rPr>
              <w:t>职称</w:t>
            </w:r>
            <w:bookmarkEnd w:id="103"/>
            <w:bookmarkEnd w:id="104"/>
          </w:p>
        </w:tc>
        <w:tc>
          <w:tcPr>
            <w:tcW w:w="814" w:type="dxa"/>
            <w:tcBorders>
              <w:top w:val="single" w:color="000000" w:sz="6" w:space="0"/>
              <w:left w:val="single" w:color="000000" w:sz="4"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p>
        </w:tc>
        <w:tc>
          <w:tcPr>
            <w:tcW w:w="2526" w:type="dxa"/>
            <w:gridSpan w:val="3"/>
            <w:tcBorders>
              <w:top w:val="single" w:color="000000" w:sz="6" w:space="0"/>
              <w:left w:val="single" w:color="000000" w:sz="4"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bookmarkStart w:id="105" w:name="_Toc309048455"/>
            <w:bookmarkStart w:id="106" w:name="_Toc309996266"/>
            <w:r>
              <w:rPr>
                <w:rFonts w:hint="eastAsia" w:ascii="新宋体" w:hAnsi="新宋体" w:eastAsia="新宋体" w:cs="新宋体"/>
                <w:color w:val="auto"/>
                <w:sz w:val="22"/>
                <w:szCs w:val="22"/>
                <w:highlight w:val="none"/>
              </w:rPr>
              <w:t>为投标人服务时间（年）</w:t>
            </w:r>
            <w:bookmarkEnd w:id="105"/>
            <w:bookmarkEnd w:id="106"/>
          </w:p>
        </w:tc>
        <w:tc>
          <w:tcPr>
            <w:tcW w:w="1485" w:type="dxa"/>
            <w:gridSpan w:val="3"/>
            <w:tcBorders>
              <w:top w:val="single" w:color="000000" w:sz="6" w:space="0"/>
              <w:left w:val="single" w:color="000000" w:sz="4" w:space="0"/>
              <w:bottom w:val="single" w:color="000000" w:sz="6" w:space="0"/>
              <w:right w:val="single" w:color="auto" w:sz="4" w:space="0"/>
            </w:tcBorders>
            <w:vAlign w:val="center"/>
          </w:tcPr>
          <w:p>
            <w:pPr>
              <w:pStyle w:val="316"/>
              <w:jc w:val="center"/>
              <w:rPr>
                <w:rFonts w:hint="eastAsia" w:ascii="新宋体" w:hAnsi="新宋体" w:eastAsia="新宋体" w:cs="新宋体"/>
                <w:color w:val="auto"/>
                <w:sz w:val="22"/>
                <w:szCs w:val="22"/>
                <w:highlight w:val="none"/>
              </w:rPr>
            </w:pPr>
          </w:p>
        </w:tc>
        <w:tc>
          <w:tcPr>
            <w:tcW w:w="2069" w:type="dxa"/>
            <w:gridSpan w:val="3"/>
            <w:tcBorders>
              <w:top w:val="single" w:color="000000" w:sz="6" w:space="0"/>
              <w:left w:val="single" w:color="auto" w:sz="4" w:space="0"/>
              <w:bottom w:val="single" w:color="000000" w:sz="6" w:space="0"/>
              <w:right w:val="single" w:color="auto" w:sz="4" w:space="0"/>
            </w:tcBorders>
            <w:vAlign w:val="center"/>
          </w:tcPr>
          <w:p>
            <w:pPr>
              <w:pStyle w:val="316"/>
              <w:jc w:val="center"/>
              <w:rPr>
                <w:rFonts w:hint="eastAsia" w:ascii="新宋体" w:hAnsi="新宋体" w:eastAsia="新宋体" w:cs="新宋体"/>
                <w:color w:val="auto"/>
                <w:sz w:val="22"/>
                <w:szCs w:val="22"/>
                <w:highlight w:val="none"/>
              </w:rPr>
            </w:pPr>
            <w:bookmarkStart w:id="107" w:name="_Toc309996267"/>
            <w:bookmarkStart w:id="108" w:name="_Toc309048456"/>
            <w:r>
              <w:rPr>
                <w:rFonts w:hint="eastAsia" w:ascii="新宋体" w:hAnsi="新宋体" w:eastAsia="新宋体" w:cs="新宋体"/>
                <w:color w:val="auto"/>
                <w:sz w:val="22"/>
                <w:szCs w:val="22"/>
                <w:highlight w:val="none"/>
              </w:rPr>
              <w:t>在本合同中拟任职</w:t>
            </w:r>
            <w:bookmarkEnd w:id="107"/>
            <w:bookmarkEnd w:id="108"/>
          </w:p>
        </w:tc>
        <w:tc>
          <w:tcPr>
            <w:tcW w:w="1575" w:type="dxa"/>
            <w:tcBorders>
              <w:top w:val="single" w:color="000000" w:sz="6" w:space="0"/>
              <w:left w:val="single" w:color="auto" w:sz="4" w:space="0"/>
              <w:bottom w:val="single" w:color="000000" w:sz="6" w:space="0"/>
              <w:right w:val="single" w:color="000000" w:sz="12" w:space="0"/>
            </w:tcBorders>
            <w:vAlign w:val="center"/>
          </w:tcPr>
          <w:p>
            <w:pPr>
              <w:pStyle w:val="316"/>
              <w:jc w:val="center"/>
              <w:rPr>
                <w:rFonts w:hint="eastAsia" w:ascii="新宋体" w:hAnsi="新宋体" w:eastAsia="新宋体" w:cs="新宋体"/>
                <w:color w:val="auto"/>
                <w:sz w:val="22"/>
                <w:szCs w:val="22"/>
                <w:highlight w:val="none"/>
              </w:rPr>
            </w:pPr>
          </w:p>
        </w:tc>
      </w:tr>
      <w:tr>
        <w:tblPrEx>
          <w:tblLayout w:type="fixed"/>
          <w:tblCellMar>
            <w:top w:w="0" w:type="dxa"/>
            <w:left w:w="108" w:type="dxa"/>
            <w:bottom w:w="0" w:type="dxa"/>
            <w:right w:w="108" w:type="dxa"/>
          </w:tblCellMar>
        </w:tblPrEx>
        <w:trPr>
          <w:trHeight w:val="698" w:hRule="atLeast"/>
          <w:jc w:val="center"/>
        </w:trPr>
        <w:tc>
          <w:tcPr>
            <w:tcW w:w="729" w:type="dxa"/>
            <w:tcBorders>
              <w:top w:val="single" w:color="000000" w:sz="6" w:space="0"/>
              <w:left w:val="single" w:color="000000" w:sz="12"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bookmarkStart w:id="109" w:name="_Toc309996268"/>
            <w:bookmarkStart w:id="110" w:name="_Toc309048457"/>
            <w:r>
              <w:rPr>
                <w:rFonts w:hint="eastAsia" w:ascii="新宋体" w:hAnsi="新宋体" w:eastAsia="新宋体" w:cs="新宋体"/>
                <w:color w:val="auto"/>
                <w:sz w:val="22"/>
                <w:szCs w:val="22"/>
                <w:highlight w:val="none"/>
              </w:rPr>
              <w:t>学历</w:t>
            </w:r>
            <w:bookmarkEnd w:id="109"/>
            <w:bookmarkEnd w:id="110"/>
          </w:p>
        </w:tc>
        <w:tc>
          <w:tcPr>
            <w:tcW w:w="8469" w:type="dxa"/>
            <w:gridSpan w:val="11"/>
            <w:tcBorders>
              <w:top w:val="single" w:color="000000" w:sz="6" w:space="0"/>
              <w:left w:val="single" w:color="000000" w:sz="4" w:space="0"/>
              <w:bottom w:val="single" w:color="000000" w:sz="6" w:space="0"/>
              <w:right w:val="single" w:color="000000" w:sz="12" w:space="0"/>
            </w:tcBorders>
            <w:vAlign w:val="center"/>
          </w:tcPr>
          <w:p>
            <w:pPr>
              <w:pStyle w:val="316"/>
              <w:jc w:val="center"/>
              <w:rPr>
                <w:rFonts w:hint="eastAsia" w:ascii="新宋体" w:hAnsi="新宋体" w:eastAsia="新宋体" w:cs="新宋体"/>
                <w:color w:val="auto"/>
                <w:sz w:val="22"/>
                <w:szCs w:val="22"/>
                <w:highlight w:val="none"/>
              </w:rPr>
            </w:pPr>
            <w:bookmarkStart w:id="111" w:name="_Toc309048458"/>
            <w:bookmarkStart w:id="112" w:name="_Toc309996269"/>
            <w:r>
              <w:rPr>
                <w:rFonts w:hint="eastAsia" w:ascii="新宋体" w:hAnsi="新宋体" w:eastAsia="新宋体" w:cs="新宋体"/>
                <w:color w:val="auto"/>
                <w:sz w:val="22"/>
                <w:szCs w:val="22"/>
                <w:highlight w:val="none"/>
              </w:rPr>
              <w:t>年毕业于            （学校）                 （专业）</w:t>
            </w:r>
            <w:bookmarkEnd w:id="111"/>
            <w:bookmarkEnd w:id="112"/>
          </w:p>
        </w:tc>
      </w:tr>
      <w:tr>
        <w:tblPrEx>
          <w:tblLayout w:type="fixed"/>
          <w:tblCellMar>
            <w:top w:w="0" w:type="dxa"/>
            <w:left w:w="108" w:type="dxa"/>
            <w:bottom w:w="0" w:type="dxa"/>
            <w:right w:w="108" w:type="dxa"/>
          </w:tblCellMar>
        </w:tblPrEx>
        <w:trPr>
          <w:trHeight w:val="694" w:hRule="atLeast"/>
          <w:jc w:val="center"/>
        </w:trPr>
        <w:tc>
          <w:tcPr>
            <w:tcW w:w="9198" w:type="dxa"/>
            <w:gridSpan w:val="12"/>
            <w:tcBorders>
              <w:top w:val="single" w:color="000000" w:sz="6" w:space="0"/>
              <w:left w:val="single" w:color="000000" w:sz="12" w:space="0"/>
              <w:bottom w:val="single" w:color="000000" w:sz="6" w:space="0"/>
              <w:right w:val="single" w:color="000000" w:sz="12" w:space="0"/>
            </w:tcBorders>
            <w:vAlign w:val="center"/>
          </w:tcPr>
          <w:p>
            <w:pPr>
              <w:pStyle w:val="316"/>
              <w:jc w:val="center"/>
              <w:rPr>
                <w:rFonts w:hint="eastAsia" w:ascii="新宋体" w:hAnsi="新宋体" w:eastAsia="新宋体" w:cs="新宋体"/>
                <w:color w:val="auto"/>
                <w:sz w:val="22"/>
                <w:szCs w:val="22"/>
                <w:highlight w:val="none"/>
              </w:rPr>
            </w:pPr>
            <w:bookmarkStart w:id="113" w:name="_Toc309048459"/>
            <w:bookmarkStart w:id="114" w:name="_Toc309996270"/>
            <w:r>
              <w:rPr>
                <w:rFonts w:hint="eastAsia" w:ascii="新宋体" w:hAnsi="新宋体" w:eastAsia="新宋体" w:cs="新宋体"/>
                <w:color w:val="auto"/>
                <w:sz w:val="22"/>
                <w:szCs w:val="22"/>
                <w:highlight w:val="none"/>
              </w:rPr>
              <w:t>2．经历</w:t>
            </w:r>
            <w:bookmarkEnd w:id="113"/>
            <w:bookmarkEnd w:id="114"/>
          </w:p>
        </w:tc>
      </w:tr>
      <w:tr>
        <w:tblPrEx>
          <w:tblLayout w:type="fixed"/>
          <w:tblCellMar>
            <w:top w:w="0" w:type="dxa"/>
            <w:left w:w="108" w:type="dxa"/>
            <w:bottom w:w="0" w:type="dxa"/>
            <w:right w:w="108" w:type="dxa"/>
          </w:tblCellMar>
        </w:tblPrEx>
        <w:trPr>
          <w:trHeight w:val="698" w:hRule="atLeast"/>
          <w:jc w:val="center"/>
        </w:trPr>
        <w:tc>
          <w:tcPr>
            <w:tcW w:w="729" w:type="dxa"/>
            <w:tcBorders>
              <w:top w:val="single" w:color="000000" w:sz="6" w:space="0"/>
              <w:left w:val="single" w:color="000000" w:sz="12"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bookmarkStart w:id="115" w:name="_Toc309048460"/>
            <w:bookmarkStart w:id="116" w:name="_Toc309996271"/>
            <w:r>
              <w:rPr>
                <w:rFonts w:hint="eastAsia" w:ascii="新宋体" w:hAnsi="新宋体" w:eastAsia="新宋体" w:cs="新宋体"/>
                <w:color w:val="auto"/>
                <w:sz w:val="22"/>
                <w:szCs w:val="22"/>
                <w:highlight w:val="none"/>
              </w:rPr>
              <w:t>时间</w:t>
            </w:r>
            <w:bookmarkEnd w:id="115"/>
            <w:bookmarkEnd w:id="116"/>
          </w:p>
        </w:tc>
        <w:tc>
          <w:tcPr>
            <w:tcW w:w="4510" w:type="dxa"/>
            <w:gridSpan w:val="6"/>
            <w:tcBorders>
              <w:top w:val="single" w:color="000000" w:sz="6" w:space="0"/>
              <w:left w:val="single" w:color="000000" w:sz="4"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bookmarkStart w:id="117" w:name="_Toc309048461"/>
            <w:bookmarkStart w:id="118" w:name="_Toc309996272"/>
            <w:r>
              <w:rPr>
                <w:rFonts w:hint="eastAsia" w:ascii="新宋体" w:hAnsi="新宋体" w:eastAsia="新宋体" w:cs="新宋体"/>
                <w:color w:val="auto"/>
                <w:sz w:val="22"/>
                <w:szCs w:val="22"/>
                <w:highlight w:val="none"/>
              </w:rPr>
              <w:t>负责过的主要工程（类型和金额）</w:t>
            </w:r>
            <w:bookmarkEnd w:id="117"/>
            <w:bookmarkEnd w:id="118"/>
          </w:p>
        </w:tc>
        <w:tc>
          <w:tcPr>
            <w:tcW w:w="1542" w:type="dxa"/>
            <w:gridSpan w:val="3"/>
            <w:tcBorders>
              <w:top w:val="single" w:color="000000" w:sz="6" w:space="0"/>
              <w:left w:val="single" w:color="000000" w:sz="4"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bookmarkStart w:id="119" w:name="_Toc309996273"/>
            <w:bookmarkStart w:id="120" w:name="_Toc309048462"/>
            <w:r>
              <w:rPr>
                <w:rFonts w:hint="eastAsia" w:ascii="新宋体" w:hAnsi="新宋体" w:eastAsia="新宋体" w:cs="新宋体"/>
                <w:color w:val="auto"/>
                <w:sz w:val="22"/>
                <w:szCs w:val="22"/>
                <w:highlight w:val="none"/>
              </w:rPr>
              <w:t>该项目中任职</w:t>
            </w:r>
            <w:bookmarkEnd w:id="119"/>
            <w:bookmarkEnd w:id="120"/>
          </w:p>
        </w:tc>
        <w:tc>
          <w:tcPr>
            <w:tcW w:w="2417" w:type="dxa"/>
            <w:gridSpan w:val="2"/>
            <w:tcBorders>
              <w:top w:val="single" w:color="000000" w:sz="6" w:space="0"/>
              <w:left w:val="single" w:color="000000" w:sz="4" w:space="0"/>
              <w:bottom w:val="single" w:color="000000" w:sz="6" w:space="0"/>
              <w:right w:val="single" w:color="000000" w:sz="12" w:space="0"/>
            </w:tcBorders>
            <w:vAlign w:val="center"/>
          </w:tcPr>
          <w:p>
            <w:pPr>
              <w:pStyle w:val="316"/>
              <w:jc w:val="center"/>
              <w:rPr>
                <w:rFonts w:hint="eastAsia" w:ascii="新宋体" w:hAnsi="新宋体" w:eastAsia="新宋体" w:cs="新宋体"/>
                <w:color w:val="auto"/>
                <w:sz w:val="22"/>
                <w:szCs w:val="22"/>
                <w:highlight w:val="none"/>
              </w:rPr>
            </w:pPr>
            <w:bookmarkStart w:id="121" w:name="_Toc309048463"/>
            <w:bookmarkStart w:id="122" w:name="_Toc309996274"/>
            <w:r>
              <w:rPr>
                <w:rFonts w:hint="eastAsia" w:ascii="新宋体" w:hAnsi="新宋体" w:eastAsia="新宋体" w:cs="新宋体"/>
                <w:color w:val="auto"/>
                <w:sz w:val="22"/>
                <w:szCs w:val="22"/>
                <w:highlight w:val="none"/>
              </w:rPr>
              <w:t>发包人及联系电话</w:t>
            </w:r>
            <w:bookmarkEnd w:id="121"/>
            <w:bookmarkEnd w:id="122"/>
          </w:p>
        </w:tc>
      </w:tr>
      <w:tr>
        <w:tblPrEx>
          <w:tblLayout w:type="fixed"/>
          <w:tblCellMar>
            <w:top w:w="0" w:type="dxa"/>
            <w:left w:w="108" w:type="dxa"/>
            <w:bottom w:w="0" w:type="dxa"/>
            <w:right w:w="108" w:type="dxa"/>
          </w:tblCellMar>
        </w:tblPrEx>
        <w:trPr>
          <w:trHeight w:val="1349" w:hRule="atLeast"/>
          <w:jc w:val="center"/>
        </w:trPr>
        <w:tc>
          <w:tcPr>
            <w:tcW w:w="729" w:type="dxa"/>
            <w:tcBorders>
              <w:top w:val="single" w:color="000000" w:sz="6" w:space="0"/>
              <w:left w:val="single" w:color="000000" w:sz="12"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p>
        </w:tc>
        <w:tc>
          <w:tcPr>
            <w:tcW w:w="4510" w:type="dxa"/>
            <w:gridSpan w:val="6"/>
            <w:tcBorders>
              <w:top w:val="single" w:color="000000" w:sz="6" w:space="0"/>
              <w:left w:val="single" w:color="000000" w:sz="4"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p>
        </w:tc>
        <w:tc>
          <w:tcPr>
            <w:tcW w:w="1542" w:type="dxa"/>
            <w:gridSpan w:val="3"/>
            <w:tcBorders>
              <w:top w:val="single" w:color="000000" w:sz="6" w:space="0"/>
              <w:left w:val="single" w:color="000000" w:sz="4" w:space="0"/>
              <w:bottom w:val="single" w:color="000000" w:sz="6" w:space="0"/>
              <w:right w:val="single" w:color="000000" w:sz="4" w:space="0"/>
            </w:tcBorders>
            <w:vAlign w:val="center"/>
          </w:tcPr>
          <w:p>
            <w:pPr>
              <w:pStyle w:val="316"/>
              <w:jc w:val="center"/>
              <w:rPr>
                <w:rFonts w:hint="eastAsia" w:ascii="新宋体" w:hAnsi="新宋体" w:eastAsia="新宋体" w:cs="新宋体"/>
                <w:color w:val="auto"/>
                <w:sz w:val="22"/>
                <w:szCs w:val="22"/>
                <w:highlight w:val="none"/>
              </w:rPr>
            </w:pPr>
          </w:p>
        </w:tc>
        <w:tc>
          <w:tcPr>
            <w:tcW w:w="2417" w:type="dxa"/>
            <w:gridSpan w:val="2"/>
            <w:tcBorders>
              <w:top w:val="single" w:color="000000" w:sz="6" w:space="0"/>
              <w:left w:val="single" w:color="000000" w:sz="4" w:space="0"/>
              <w:bottom w:val="single" w:color="000000" w:sz="6" w:space="0"/>
              <w:right w:val="single" w:color="000000" w:sz="12" w:space="0"/>
            </w:tcBorders>
            <w:vAlign w:val="center"/>
          </w:tcPr>
          <w:p>
            <w:pPr>
              <w:pStyle w:val="316"/>
              <w:jc w:val="center"/>
              <w:rPr>
                <w:rFonts w:hint="eastAsia" w:ascii="新宋体" w:hAnsi="新宋体" w:eastAsia="新宋体" w:cs="新宋体"/>
                <w:color w:val="auto"/>
                <w:sz w:val="22"/>
                <w:szCs w:val="22"/>
                <w:highlight w:val="none"/>
              </w:rPr>
            </w:pPr>
          </w:p>
        </w:tc>
      </w:tr>
      <w:tr>
        <w:tblPrEx>
          <w:tblLayout w:type="fixed"/>
          <w:tblCellMar>
            <w:top w:w="0" w:type="dxa"/>
            <w:left w:w="108" w:type="dxa"/>
            <w:bottom w:w="0" w:type="dxa"/>
            <w:right w:w="108" w:type="dxa"/>
          </w:tblCellMar>
        </w:tblPrEx>
        <w:trPr>
          <w:trHeight w:val="513" w:hRule="atLeast"/>
          <w:jc w:val="center"/>
        </w:trPr>
        <w:tc>
          <w:tcPr>
            <w:tcW w:w="9198" w:type="dxa"/>
            <w:gridSpan w:val="12"/>
            <w:tcBorders>
              <w:top w:val="single" w:color="000000" w:sz="6" w:space="0"/>
              <w:left w:val="single" w:color="000000" w:sz="12" w:space="0"/>
              <w:bottom w:val="single" w:color="000000" w:sz="6" w:space="0"/>
              <w:right w:val="single" w:color="000000" w:sz="12" w:space="0"/>
            </w:tcBorders>
            <w:vAlign w:val="center"/>
          </w:tcPr>
          <w:p>
            <w:pPr>
              <w:pStyle w:val="316"/>
              <w:jc w:val="center"/>
              <w:rPr>
                <w:rFonts w:hint="eastAsia" w:ascii="新宋体" w:hAnsi="新宋体" w:eastAsia="新宋体" w:cs="新宋体"/>
                <w:color w:val="auto"/>
                <w:sz w:val="22"/>
                <w:szCs w:val="22"/>
                <w:highlight w:val="none"/>
              </w:rPr>
            </w:pPr>
            <w:bookmarkStart w:id="123" w:name="_Toc309048464"/>
            <w:bookmarkStart w:id="124" w:name="_Toc309996275"/>
            <w:r>
              <w:rPr>
                <w:rFonts w:hint="eastAsia" w:ascii="新宋体" w:hAnsi="新宋体" w:eastAsia="新宋体" w:cs="新宋体"/>
                <w:color w:val="auto"/>
                <w:sz w:val="22"/>
                <w:szCs w:val="22"/>
                <w:highlight w:val="none"/>
              </w:rPr>
              <w:t>3．获奖情况</w:t>
            </w:r>
            <w:bookmarkEnd w:id="123"/>
            <w:bookmarkEnd w:id="124"/>
          </w:p>
        </w:tc>
      </w:tr>
      <w:tr>
        <w:tblPrEx>
          <w:tblLayout w:type="fixed"/>
          <w:tblCellMar>
            <w:top w:w="0" w:type="dxa"/>
            <w:left w:w="108" w:type="dxa"/>
            <w:bottom w:w="0" w:type="dxa"/>
            <w:right w:w="108" w:type="dxa"/>
          </w:tblCellMar>
        </w:tblPrEx>
        <w:trPr>
          <w:trHeight w:val="1397" w:hRule="atLeast"/>
          <w:jc w:val="center"/>
        </w:trPr>
        <w:tc>
          <w:tcPr>
            <w:tcW w:w="9198" w:type="dxa"/>
            <w:gridSpan w:val="12"/>
            <w:tcBorders>
              <w:top w:val="single" w:color="000000" w:sz="6" w:space="0"/>
              <w:left w:val="single" w:color="000000" w:sz="12" w:space="0"/>
              <w:bottom w:val="single" w:color="000000" w:sz="6" w:space="0"/>
              <w:right w:val="single" w:color="000000" w:sz="12" w:space="0"/>
            </w:tcBorders>
            <w:vAlign w:val="center"/>
          </w:tcPr>
          <w:p>
            <w:pPr>
              <w:pStyle w:val="316"/>
              <w:jc w:val="center"/>
              <w:rPr>
                <w:rFonts w:hint="eastAsia" w:ascii="新宋体" w:hAnsi="新宋体" w:eastAsia="新宋体" w:cs="新宋体"/>
                <w:color w:val="auto"/>
                <w:sz w:val="22"/>
                <w:szCs w:val="22"/>
                <w:highlight w:val="none"/>
              </w:rPr>
            </w:pPr>
          </w:p>
        </w:tc>
      </w:tr>
      <w:tr>
        <w:tblPrEx>
          <w:tblLayout w:type="fixed"/>
          <w:tblCellMar>
            <w:top w:w="0" w:type="dxa"/>
            <w:left w:w="108" w:type="dxa"/>
            <w:bottom w:w="0" w:type="dxa"/>
            <w:right w:w="108" w:type="dxa"/>
          </w:tblCellMar>
        </w:tblPrEx>
        <w:trPr>
          <w:trHeight w:val="694" w:hRule="atLeast"/>
          <w:jc w:val="center"/>
        </w:trPr>
        <w:tc>
          <w:tcPr>
            <w:tcW w:w="9198" w:type="dxa"/>
            <w:gridSpan w:val="12"/>
            <w:tcBorders>
              <w:top w:val="single" w:color="000000" w:sz="6" w:space="0"/>
              <w:left w:val="single" w:color="000000" w:sz="12" w:space="0"/>
              <w:bottom w:val="single" w:color="000000" w:sz="6" w:space="0"/>
              <w:right w:val="single" w:color="000000" w:sz="12" w:space="0"/>
            </w:tcBorders>
            <w:vAlign w:val="center"/>
          </w:tcPr>
          <w:p>
            <w:pPr>
              <w:pStyle w:val="316"/>
              <w:jc w:val="center"/>
              <w:rPr>
                <w:rFonts w:hint="eastAsia" w:ascii="新宋体" w:hAnsi="新宋体" w:eastAsia="新宋体" w:cs="新宋体"/>
                <w:color w:val="auto"/>
                <w:sz w:val="22"/>
                <w:szCs w:val="22"/>
                <w:highlight w:val="none"/>
              </w:rPr>
            </w:pPr>
            <w:bookmarkStart w:id="125" w:name="_Toc309048465"/>
            <w:bookmarkStart w:id="126" w:name="_Toc309996276"/>
            <w:r>
              <w:rPr>
                <w:rFonts w:hint="eastAsia" w:ascii="新宋体" w:hAnsi="新宋体" w:eastAsia="新宋体" w:cs="新宋体"/>
                <w:color w:val="auto"/>
                <w:sz w:val="22"/>
                <w:szCs w:val="22"/>
                <w:highlight w:val="none"/>
              </w:rPr>
              <w:t>4．目前承担的任务</w:t>
            </w:r>
            <w:bookmarkEnd w:id="125"/>
            <w:bookmarkEnd w:id="126"/>
          </w:p>
        </w:tc>
      </w:tr>
      <w:tr>
        <w:tblPrEx>
          <w:tblLayout w:type="fixed"/>
          <w:tblCellMar>
            <w:top w:w="0" w:type="dxa"/>
            <w:left w:w="108" w:type="dxa"/>
            <w:bottom w:w="0" w:type="dxa"/>
            <w:right w:w="108" w:type="dxa"/>
          </w:tblCellMar>
        </w:tblPrEx>
        <w:trPr>
          <w:trHeight w:val="1459" w:hRule="atLeast"/>
          <w:jc w:val="center"/>
        </w:trPr>
        <w:tc>
          <w:tcPr>
            <w:tcW w:w="9198" w:type="dxa"/>
            <w:gridSpan w:val="12"/>
            <w:tcBorders>
              <w:top w:val="single" w:color="000000" w:sz="6" w:space="0"/>
              <w:left w:val="single" w:color="000000" w:sz="12" w:space="0"/>
              <w:bottom w:val="single" w:color="000000" w:sz="12" w:space="0"/>
              <w:right w:val="single" w:color="000000" w:sz="12" w:space="0"/>
            </w:tcBorders>
            <w:vAlign w:val="center"/>
          </w:tcPr>
          <w:p>
            <w:pPr>
              <w:pStyle w:val="316"/>
              <w:jc w:val="center"/>
              <w:rPr>
                <w:rFonts w:hint="eastAsia" w:ascii="新宋体" w:hAnsi="新宋体" w:eastAsia="新宋体" w:cs="新宋体"/>
                <w:color w:val="auto"/>
                <w:sz w:val="22"/>
                <w:szCs w:val="22"/>
                <w:highlight w:val="none"/>
              </w:rPr>
            </w:pPr>
          </w:p>
        </w:tc>
      </w:tr>
    </w:tbl>
    <w:p>
      <w:pPr>
        <w:pStyle w:val="28"/>
        <w:spacing w:line="400" w:lineRule="atLeast"/>
        <w:ind w:left="660" w:hanging="660" w:hangingChars="300"/>
        <w:rPr>
          <w:rFonts w:hint="eastAsia" w:ascii="新宋体" w:hAnsi="新宋体" w:eastAsia="新宋体" w:cs="新宋体"/>
          <w:color w:val="auto"/>
          <w:sz w:val="22"/>
          <w:szCs w:val="22"/>
          <w:highlight w:val="none"/>
        </w:rPr>
      </w:pPr>
    </w:p>
    <w:p>
      <w:pPr>
        <w:pStyle w:val="28"/>
        <w:spacing w:line="400" w:lineRule="atLeast"/>
        <w:ind w:left="660" w:hanging="660" w:hangingChars="300"/>
        <w:rPr>
          <w:rFonts w:hint="eastAsia" w:ascii="新宋体" w:hAnsi="新宋体" w:eastAsia="新宋体" w:cs="新宋体"/>
          <w:color w:val="auto"/>
          <w:sz w:val="22"/>
          <w:szCs w:val="22"/>
          <w:highlight w:val="none"/>
        </w:rPr>
      </w:pPr>
    </w:p>
    <w:p>
      <w:pPr>
        <w:pStyle w:val="28"/>
        <w:spacing w:line="400" w:lineRule="atLeast"/>
        <w:ind w:left="660" w:hanging="660" w:hangingChars="300"/>
        <w:rPr>
          <w:rFonts w:hint="eastAsia" w:ascii="新宋体" w:hAnsi="新宋体" w:eastAsia="新宋体" w:cs="新宋体"/>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pPr>
        <w:spacing w:line="360" w:lineRule="auto"/>
        <w:rPr>
          <w:rFonts w:hint="eastAsia" w:ascii="新宋体" w:hAnsi="新宋体" w:eastAsia="新宋体" w:cs="新宋体"/>
          <w:color w:val="auto"/>
          <w:sz w:val="22"/>
          <w:szCs w:val="22"/>
          <w:highlight w:val="none"/>
        </w:rPr>
      </w:pPr>
    </w:p>
    <w:p>
      <w:pPr>
        <w:spacing w:line="360" w:lineRule="auto"/>
        <w:rPr>
          <w:rFonts w:hint="eastAsia" w:ascii="新宋体" w:hAnsi="新宋体" w:eastAsia="新宋体" w:cs="新宋体"/>
          <w:color w:val="auto"/>
          <w:sz w:val="22"/>
          <w:szCs w:val="22"/>
          <w:highlight w:val="none"/>
        </w:rPr>
      </w:pPr>
    </w:p>
    <w:p>
      <w:pPr>
        <w:spacing w:line="360" w:lineRule="auto"/>
        <w:rPr>
          <w:rFonts w:hint="eastAsia" w:ascii="新宋体" w:hAnsi="新宋体" w:eastAsia="新宋体" w:cs="新宋体"/>
          <w:color w:val="auto"/>
          <w:sz w:val="22"/>
          <w:szCs w:val="22"/>
          <w:highlight w:val="none"/>
        </w:rPr>
      </w:pPr>
    </w:p>
    <w:p>
      <w:pPr>
        <w:snapToGrid w:val="0"/>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 xml:space="preserve">        </w:t>
      </w:r>
    </w:p>
    <w:p>
      <w:pPr>
        <w:snapToGrid w:val="0"/>
        <w:spacing w:line="480" w:lineRule="auto"/>
        <w:rPr>
          <w:rFonts w:hint="eastAsia" w:ascii="新宋体" w:hAnsi="新宋体" w:eastAsia="新宋体" w:cs="新宋体"/>
          <w:b/>
          <w:color w:val="auto"/>
          <w:sz w:val="28"/>
          <w:highlight w:val="none"/>
        </w:rPr>
      </w:pPr>
      <w:r>
        <w:rPr>
          <w:rFonts w:hint="eastAsia" w:ascii="新宋体" w:hAnsi="新宋体" w:eastAsia="新宋体" w:cs="新宋体"/>
          <w:b/>
          <w:color w:val="auto"/>
          <w:sz w:val="28"/>
          <w:highlight w:val="none"/>
        </w:rPr>
        <w:t xml:space="preserve">附件九 </w:t>
      </w:r>
    </w:p>
    <w:p>
      <w:pPr>
        <w:snapToGrid w:val="0"/>
        <w:spacing w:line="480" w:lineRule="auto"/>
        <w:ind w:firstLine="1687" w:firstLineChars="600"/>
        <w:rPr>
          <w:rFonts w:hint="eastAsia" w:ascii="新宋体" w:hAnsi="新宋体" w:eastAsia="新宋体" w:cs="新宋体"/>
          <w:color w:val="auto"/>
          <w:highlight w:val="none"/>
        </w:rPr>
      </w:pPr>
      <w:r>
        <w:rPr>
          <w:rFonts w:hint="eastAsia" w:ascii="新宋体" w:hAnsi="新宋体" w:eastAsia="新宋体" w:cs="新宋体"/>
          <w:b/>
          <w:color w:val="auto"/>
          <w:sz w:val="28"/>
          <w:highlight w:val="none"/>
        </w:rPr>
        <w:t xml:space="preserve">投标供应商2015年7月1日至今承担过的同类项目业绩 </w:t>
      </w:r>
    </w:p>
    <w:tbl>
      <w:tblPr>
        <w:tblStyle w:val="66"/>
        <w:tblpPr w:leftFromText="180" w:rightFromText="180" w:vertAnchor="text" w:tblpY="1"/>
        <w:tblOverlap w:val="never"/>
        <w:tblW w:w="9854"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463"/>
        <w:gridCol w:w="1248"/>
        <w:gridCol w:w="1600"/>
        <w:gridCol w:w="1665"/>
        <w:gridCol w:w="18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0" w:hRule="atLeast"/>
        </w:trPr>
        <w:tc>
          <w:tcPr>
            <w:tcW w:w="3463" w:type="dxa"/>
            <w:vAlign w:val="center"/>
          </w:tcPr>
          <w:p>
            <w:pPr>
              <w:spacing w:line="400" w:lineRule="atLeast"/>
              <w:jc w:val="center"/>
              <w:rPr>
                <w:rFonts w:hint="eastAsia" w:ascii="新宋体" w:hAnsi="新宋体" w:eastAsia="新宋体" w:cs="新宋体"/>
                <w:color w:val="auto"/>
                <w:sz w:val="24"/>
                <w:highlight w:val="none"/>
              </w:rPr>
            </w:pPr>
            <w:bookmarkStart w:id="127" w:name="_Toc373927644"/>
            <w:bookmarkStart w:id="128" w:name="_Toc439282515"/>
            <w:r>
              <w:rPr>
                <w:rFonts w:hint="eastAsia" w:ascii="新宋体" w:hAnsi="新宋体" w:eastAsia="新宋体" w:cs="新宋体"/>
                <w:color w:val="auto"/>
                <w:sz w:val="24"/>
                <w:highlight w:val="none"/>
              </w:rPr>
              <w:t>项目名称</w:t>
            </w:r>
          </w:p>
        </w:tc>
        <w:tc>
          <w:tcPr>
            <w:tcW w:w="1248" w:type="dxa"/>
            <w:vAlign w:val="center"/>
          </w:tcPr>
          <w:p>
            <w:pPr>
              <w:spacing w:line="40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金额</w:t>
            </w:r>
          </w:p>
        </w:tc>
        <w:tc>
          <w:tcPr>
            <w:tcW w:w="1600" w:type="dxa"/>
            <w:vAlign w:val="center"/>
          </w:tcPr>
          <w:p>
            <w:pPr>
              <w:spacing w:line="40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使用单位全称</w:t>
            </w:r>
          </w:p>
        </w:tc>
        <w:tc>
          <w:tcPr>
            <w:tcW w:w="1665" w:type="dxa"/>
            <w:vAlign w:val="center"/>
          </w:tcPr>
          <w:p>
            <w:pPr>
              <w:spacing w:line="400" w:lineRule="atLeast"/>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使用单位联系人电话</w:t>
            </w:r>
          </w:p>
        </w:tc>
        <w:tc>
          <w:tcPr>
            <w:tcW w:w="1878" w:type="dxa"/>
            <w:vAlign w:val="center"/>
          </w:tcPr>
          <w:p>
            <w:pPr>
              <w:tabs>
                <w:tab w:val="left" w:pos="692"/>
              </w:tabs>
              <w:spacing w:line="400" w:lineRule="atLeast"/>
              <w:ind w:left="240" w:hanging="240" w:hangingChars="100"/>
              <w:rPr>
                <w:rFonts w:hint="eastAsia" w:ascii="新宋体" w:hAnsi="新宋体" w:eastAsia="新宋体" w:cs="新宋体"/>
                <w:b/>
                <w:color w:val="auto"/>
                <w:sz w:val="24"/>
                <w:highlight w:val="none"/>
                <w:u w:val="thick"/>
              </w:rPr>
            </w:pPr>
            <w:r>
              <w:rPr>
                <w:rFonts w:hint="eastAsia" w:ascii="新宋体" w:hAnsi="新宋体" w:eastAsia="新宋体" w:cs="新宋体"/>
                <w:color w:val="auto"/>
                <w:sz w:val="24"/>
                <w:highlight w:val="none"/>
              </w:rPr>
              <w:t>合同签订时间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0" w:hRule="atLeast"/>
        </w:trPr>
        <w:tc>
          <w:tcPr>
            <w:tcW w:w="3463" w:type="dxa"/>
          </w:tcPr>
          <w:p>
            <w:pPr>
              <w:spacing w:line="400" w:lineRule="atLeast"/>
              <w:jc w:val="center"/>
              <w:rPr>
                <w:rFonts w:hint="eastAsia" w:ascii="新宋体" w:hAnsi="新宋体" w:eastAsia="新宋体" w:cs="新宋体"/>
                <w:color w:val="auto"/>
                <w:sz w:val="24"/>
                <w:highlight w:val="none"/>
              </w:rPr>
            </w:pPr>
          </w:p>
        </w:tc>
        <w:tc>
          <w:tcPr>
            <w:tcW w:w="1248" w:type="dxa"/>
          </w:tcPr>
          <w:p>
            <w:pPr>
              <w:spacing w:line="400" w:lineRule="atLeast"/>
              <w:jc w:val="center"/>
              <w:rPr>
                <w:rFonts w:hint="eastAsia" w:ascii="新宋体" w:hAnsi="新宋体" w:eastAsia="新宋体" w:cs="新宋体"/>
                <w:color w:val="auto"/>
                <w:sz w:val="24"/>
                <w:highlight w:val="none"/>
              </w:rPr>
            </w:pPr>
          </w:p>
        </w:tc>
        <w:tc>
          <w:tcPr>
            <w:tcW w:w="1600" w:type="dxa"/>
          </w:tcPr>
          <w:p>
            <w:pPr>
              <w:spacing w:line="400" w:lineRule="atLeast"/>
              <w:jc w:val="center"/>
              <w:rPr>
                <w:rFonts w:hint="eastAsia" w:ascii="新宋体" w:hAnsi="新宋体" w:eastAsia="新宋体" w:cs="新宋体"/>
                <w:color w:val="auto"/>
                <w:sz w:val="24"/>
                <w:highlight w:val="none"/>
              </w:rPr>
            </w:pPr>
          </w:p>
        </w:tc>
        <w:tc>
          <w:tcPr>
            <w:tcW w:w="1665" w:type="dxa"/>
          </w:tcPr>
          <w:p>
            <w:pPr>
              <w:spacing w:line="400" w:lineRule="atLeast"/>
              <w:jc w:val="center"/>
              <w:rPr>
                <w:rFonts w:hint="eastAsia" w:ascii="新宋体" w:hAnsi="新宋体" w:eastAsia="新宋体" w:cs="新宋体"/>
                <w:color w:val="auto"/>
                <w:sz w:val="24"/>
                <w:highlight w:val="none"/>
              </w:rPr>
            </w:pPr>
          </w:p>
        </w:tc>
        <w:tc>
          <w:tcPr>
            <w:tcW w:w="1878" w:type="dxa"/>
          </w:tcPr>
          <w:p>
            <w:pPr>
              <w:spacing w:line="400" w:lineRule="atLeast"/>
              <w:jc w:val="center"/>
              <w:rPr>
                <w:rFonts w:hint="eastAsia" w:ascii="新宋体" w:hAnsi="新宋体" w:eastAsia="新宋体" w:cs="新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0" w:hRule="atLeast"/>
        </w:trPr>
        <w:tc>
          <w:tcPr>
            <w:tcW w:w="3463" w:type="dxa"/>
          </w:tcPr>
          <w:p>
            <w:pPr>
              <w:spacing w:line="400" w:lineRule="atLeast"/>
              <w:jc w:val="center"/>
              <w:rPr>
                <w:rFonts w:hint="eastAsia" w:ascii="新宋体" w:hAnsi="新宋体" w:eastAsia="新宋体" w:cs="新宋体"/>
                <w:color w:val="auto"/>
                <w:sz w:val="24"/>
                <w:highlight w:val="none"/>
              </w:rPr>
            </w:pPr>
          </w:p>
        </w:tc>
        <w:tc>
          <w:tcPr>
            <w:tcW w:w="1248" w:type="dxa"/>
          </w:tcPr>
          <w:p>
            <w:pPr>
              <w:spacing w:line="400" w:lineRule="atLeast"/>
              <w:jc w:val="center"/>
              <w:rPr>
                <w:rFonts w:hint="eastAsia" w:ascii="新宋体" w:hAnsi="新宋体" w:eastAsia="新宋体" w:cs="新宋体"/>
                <w:color w:val="auto"/>
                <w:sz w:val="24"/>
                <w:highlight w:val="none"/>
              </w:rPr>
            </w:pPr>
          </w:p>
        </w:tc>
        <w:tc>
          <w:tcPr>
            <w:tcW w:w="1600" w:type="dxa"/>
          </w:tcPr>
          <w:p>
            <w:pPr>
              <w:spacing w:line="400" w:lineRule="atLeast"/>
              <w:jc w:val="center"/>
              <w:rPr>
                <w:rFonts w:hint="eastAsia" w:ascii="新宋体" w:hAnsi="新宋体" w:eastAsia="新宋体" w:cs="新宋体"/>
                <w:color w:val="auto"/>
                <w:sz w:val="24"/>
                <w:highlight w:val="none"/>
              </w:rPr>
            </w:pPr>
          </w:p>
        </w:tc>
        <w:tc>
          <w:tcPr>
            <w:tcW w:w="1665" w:type="dxa"/>
          </w:tcPr>
          <w:p>
            <w:pPr>
              <w:spacing w:line="400" w:lineRule="atLeast"/>
              <w:jc w:val="center"/>
              <w:rPr>
                <w:rFonts w:hint="eastAsia" w:ascii="新宋体" w:hAnsi="新宋体" w:eastAsia="新宋体" w:cs="新宋体"/>
                <w:color w:val="auto"/>
                <w:sz w:val="24"/>
                <w:highlight w:val="none"/>
              </w:rPr>
            </w:pPr>
          </w:p>
        </w:tc>
        <w:tc>
          <w:tcPr>
            <w:tcW w:w="1878" w:type="dxa"/>
          </w:tcPr>
          <w:p>
            <w:pPr>
              <w:spacing w:line="400" w:lineRule="atLeast"/>
              <w:jc w:val="center"/>
              <w:rPr>
                <w:rFonts w:hint="eastAsia" w:ascii="新宋体" w:hAnsi="新宋体" w:eastAsia="新宋体" w:cs="新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0" w:hRule="atLeast"/>
        </w:trPr>
        <w:tc>
          <w:tcPr>
            <w:tcW w:w="3463" w:type="dxa"/>
          </w:tcPr>
          <w:p>
            <w:pPr>
              <w:spacing w:line="400" w:lineRule="atLeast"/>
              <w:jc w:val="center"/>
              <w:rPr>
                <w:rFonts w:hint="eastAsia" w:ascii="新宋体" w:hAnsi="新宋体" w:eastAsia="新宋体" w:cs="新宋体"/>
                <w:color w:val="auto"/>
                <w:sz w:val="24"/>
                <w:highlight w:val="none"/>
              </w:rPr>
            </w:pPr>
          </w:p>
        </w:tc>
        <w:tc>
          <w:tcPr>
            <w:tcW w:w="1248" w:type="dxa"/>
          </w:tcPr>
          <w:p>
            <w:pPr>
              <w:spacing w:line="400" w:lineRule="atLeast"/>
              <w:jc w:val="center"/>
              <w:rPr>
                <w:rFonts w:hint="eastAsia" w:ascii="新宋体" w:hAnsi="新宋体" w:eastAsia="新宋体" w:cs="新宋体"/>
                <w:color w:val="auto"/>
                <w:sz w:val="24"/>
                <w:highlight w:val="none"/>
              </w:rPr>
            </w:pPr>
          </w:p>
        </w:tc>
        <w:tc>
          <w:tcPr>
            <w:tcW w:w="1600" w:type="dxa"/>
          </w:tcPr>
          <w:p>
            <w:pPr>
              <w:spacing w:line="400" w:lineRule="atLeast"/>
              <w:jc w:val="center"/>
              <w:rPr>
                <w:rFonts w:hint="eastAsia" w:ascii="新宋体" w:hAnsi="新宋体" w:eastAsia="新宋体" w:cs="新宋体"/>
                <w:color w:val="auto"/>
                <w:sz w:val="24"/>
                <w:highlight w:val="none"/>
              </w:rPr>
            </w:pPr>
          </w:p>
        </w:tc>
        <w:tc>
          <w:tcPr>
            <w:tcW w:w="1665" w:type="dxa"/>
          </w:tcPr>
          <w:p>
            <w:pPr>
              <w:spacing w:line="400" w:lineRule="atLeast"/>
              <w:jc w:val="center"/>
              <w:rPr>
                <w:rFonts w:hint="eastAsia" w:ascii="新宋体" w:hAnsi="新宋体" w:eastAsia="新宋体" w:cs="新宋体"/>
                <w:color w:val="auto"/>
                <w:sz w:val="24"/>
                <w:highlight w:val="none"/>
              </w:rPr>
            </w:pPr>
          </w:p>
        </w:tc>
        <w:tc>
          <w:tcPr>
            <w:tcW w:w="1878" w:type="dxa"/>
          </w:tcPr>
          <w:p>
            <w:pPr>
              <w:spacing w:line="400" w:lineRule="atLeast"/>
              <w:jc w:val="center"/>
              <w:rPr>
                <w:rFonts w:hint="eastAsia" w:ascii="新宋体" w:hAnsi="新宋体" w:eastAsia="新宋体" w:cs="新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0" w:hRule="atLeast"/>
        </w:trPr>
        <w:tc>
          <w:tcPr>
            <w:tcW w:w="3463" w:type="dxa"/>
          </w:tcPr>
          <w:p>
            <w:pPr>
              <w:spacing w:line="400" w:lineRule="atLeast"/>
              <w:jc w:val="center"/>
              <w:rPr>
                <w:rFonts w:hint="eastAsia" w:ascii="新宋体" w:hAnsi="新宋体" w:eastAsia="新宋体" w:cs="新宋体"/>
                <w:color w:val="auto"/>
                <w:sz w:val="24"/>
                <w:highlight w:val="none"/>
              </w:rPr>
            </w:pPr>
          </w:p>
        </w:tc>
        <w:tc>
          <w:tcPr>
            <w:tcW w:w="1248" w:type="dxa"/>
          </w:tcPr>
          <w:p>
            <w:pPr>
              <w:spacing w:line="400" w:lineRule="atLeast"/>
              <w:jc w:val="center"/>
              <w:rPr>
                <w:rFonts w:hint="eastAsia" w:ascii="新宋体" w:hAnsi="新宋体" w:eastAsia="新宋体" w:cs="新宋体"/>
                <w:color w:val="auto"/>
                <w:sz w:val="24"/>
                <w:highlight w:val="none"/>
              </w:rPr>
            </w:pPr>
          </w:p>
        </w:tc>
        <w:tc>
          <w:tcPr>
            <w:tcW w:w="1600" w:type="dxa"/>
          </w:tcPr>
          <w:p>
            <w:pPr>
              <w:spacing w:line="400" w:lineRule="atLeast"/>
              <w:jc w:val="center"/>
              <w:rPr>
                <w:rFonts w:hint="eastAsia" w:ascii="新宋体" w:hAnsi="新宋体" w:eastAsia="新宋体" w:cs="新宋体"/>
                <w:color w:val="auto"/>
                <w:sz w:val="24"/>
                <w:highlight w:val="none"/>
              </w:rPr>
            </w:pPr>
          </w:p>
        </w:tc>
        <w:tc>
          <w:tcPr>
            <w:tcW w:w="1665" w:type="dxa"/>
          </w:tcPr>
          <w:p>
            <w:pPr>
              <w:spacing w:line="400" w:lineRule="atLeast"/>
              <w:jc w:val="center"/>
              <w:rPr>
                <w:rFonts w:hint="eastAsia" w:ascii="新宋体" w:hAnsi="新宋体" w:eastAsia="新宋体" w:cs="新宋体"/>
                <w:color w:val="auto"/>
                <w:sz w:val="24"/>
                <w:highlight w:val="none"/>
              </w:rPr>
            </w:pPr>
          </w:p>
        </w:tc>
        <w:tc>
          <w:tcPr>
            <w:tcW w:w="1878" w:type="dxa"/>
          </w:tcPr>
          <w:p>
            <w:pPr>
              <w:spacing w:line="400" w:lineRule="atLeast"/>
              <w:jc w:val="center"/>
              <w:rPr>
                <w:rFonts w:hint="eastAsia" w:ascii="新宋体" w:hAnsi="新宋体" w:eastAsia="新宋体" w:cs="新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0" w:hRule="atLeast"/>
        </w:trPr>
        <w:tc>
          <w:tcPr>
            <w:tcW w:w="3463" w:type="dxa"/>
          </w:tcPr>
          <w:p>
            <w:pPr>
              <w:spacing w:line="400" w:lineRule="atLeast"/>
              <w:jc w:val="center"/>
              <w:rPr>
                <w:rFonts w:hint="eastAsia" w:ascii="新宋体" w:hAnsi="新宋体" w:eastAsia="新宋体" w:cs="新宋体"/>
                <w:color w:val="auto"/>
                <w:sz w:val="24"/>
                <w:highlight w:val="none"/>
              </w:rPr>
            </w:pPr>
          </w:p>
        </w:tc>
        <w:tc>
          <w:tcPr>
            <w:tcW w:w="1248" w:type="dxa"/>
          </w:tcPr>
          <w:p>
            <w:pPr>
              <w:spacing w:line="400" w:lineRule="atLeast"/>
              <w:jc w:val="center"/>
              <w:rPr>
                <w:rFonts w:hint="eastAsia" w:ascii="新宋体" w:hAnsi="新宋体" w:eastAsia="新宋体" w:cs="新宋体"/>
                <w:color w:val="auto"/>
                <w:sz w:val="24"/>
                <w:highlight w:val="none"/>
              </w:rPr>
            </w:pPr>
          </w:p>
        </w:tc>
        <w:tc>
          <w:tcPr>
            <w:tcW w:w="1600" w:type="dxa"/>
          </w:tcPr>
          <w:p>
            <w:pPr>
              <w:spacing w:line="400" w:lineRule="atLeast"/>
              <w:jc w:val="center"/>
              <w:rPr>
                <w:rFonts w:hint="eastAsia" w:ascii="新宋体" w:hAnsi="新宋体" w:eastAsia="新宋体" w:cs="新宋体"/>
                <w:color w:val="auto"/>
                <w:sz w:val="24"/>
                <w:highlight w:val="none"/>
              </w:rPr>
            </w:pPr>
          </w:p>
        </w:tc>
        <w:tc>
          <w:tcPr>
            <w:tcW w:w="1665" w:type="dxa"/>
          </w:tcPr>
          <w:p>
            <w:pPr>
              <w:spacing w:line="400" w:lineRule="atLeast"/>
              <w:jc w:val="center"/>
              <w:rPr>
                <w:rFonts w:hint="eastAsia" w:ascii="新宋体" w:hAnsi="新宋体" w:eastAsia="新宋体" w:cs="新宋体"/>
                <w:color w:val="auto"/>
                <w:sz w:val="24"/>
                <w:highlight w:val="none"/>
              </w:rPr>
            </w:pPr>
          </w:p>
        </w:tc>
        <w:tc>
          <w:tcPr>
            <w:tcW w:w="1878" w:type="dxa"/>
          </w:tcPr>
          <w:p>
            <w:pPr>
              <w:spacing w:line="400" w:lineRule="atLeast"/>
              <w:jc w:val="center"/>
              <w:rPr>
                <w:rFonts w:hint="eastAsia" w:ascii="新宋体" w:hAnsi="新宋体" w:eastAsia="新宋体" w:cs="新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0" w:hRule="atLeast"/>
        </w:trPr>
        <w:tc>
          <w:tcPr>
            <w:tcW w:w="3463" w:type="dxa"/>
          </w:tcPr>
          <w:p>
            <w:pPr>
              <w:spacing w:line="400" w:lineRule="atLeast"/>
              <w:jc w:val="center"/>
              <w:rPr>
                <w:rFonts w:hint="eastAsia" w:ascii="新宋体" w:hAnsi="新宋体" w:eastAsia="新宋体" w:cs="新宋体"/>
                <w:color w:val="auto"/>
                <w:sz w:val="24"/>
                <w:highlight w:val="none"/>
              </w:rPr>
            </w:pPr>
          </w:p>
        </w:tc>
        <w:tc>
          <w:tcPr>
            <w:tcW w:w="1248" w:type="dxa"/>
          </w:tcPr>
          <w:p>
            <w:pPr>
              <w:spacing w:line="400" w:lineRule="atLeast"/>
              <w:jc w:val="center"/>
              <w:rPr>
                <w:rFonts w:hint="eastAsia" w:ascii="新宋体" w:hAnsi="新宋体" w:eastAsia="新宋体" w:cs="新宋体"/>
                <w:color w:val="auto"/>
                <w:sz w:val="24"/>
                <w:highlight w:val="none"/>
              </w:rPr>
            </w:pPr>
          </w:p>
        </w:tc>
        <w:tc>
          <w:tcPr>
            <w:tcW w:w="1600" w:type="dxa"/>
          </w:tcPr>
          <w:p>
            <w:pPr>
              <w:spacing w:line="400" w:lineRule="atLeast"/>
              <w:jc w:val="center"/>
              <w:rPr>
                <w:rFonts w:hint="eastAsia" w:ascii="新宋体" w:hAnsi="新宋体" w:eastAsia="新宋体" w:cs="新宋体"/>
                <w:color w:val="auto"/>
                <w:sz w:val="24"/>
                <w:highlight w:val="none"/>
              </w:rPr>
            </w:pPr>
          </w:p>
        </w:tc>
        <w:tc>
          <w:tcPr>
            <w:tcW w:w="1665" w:type="dxa"/>
          </w:tcPr>
          <w:p>
            <w:pPr>
              <w:spacing w:line="400" w:lineRule="atLeast"/>
              <w:jc w:val="center"/>
              <w:rPr>
                <w:rFonts w:hint="eastAsia" w:ascii="新宋体" w:hAnsi="新宋体" w:eastAsia="新宋体" w:cs="新宋体"/>
                <w:color w:val="auto"/>
                <w:sz w:val="24"/>
                <w:highlight w:val="none"/>
              </w:rPr>
            </w:pPr>
          </w:p>
        </w:tc>
        <w:tc>
          <w:tcPr>
            <w:tcW w:w="1878" w:type="dxa"/>
          </w:tcPr>
          <w:p>
            <w:pPr>
              <w:spacing w:line="400" w:lineRule="atLeast"/>
              <w:jc w:val="center"/>
              <w:rPr>
                <w:rFonts w:hint="eastAsia" w:ascii="新宋体" w:hAnsi="新宋体" w:eastAsia="新宋体" w:cs="新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0" w:hRule="atLeast"/>
        </w:trPr>
        <w:tc>
          <w:tcPr>
            <w:tcW w:w="3463" w:type="dxa"/>
          </w:tcPr>
          <w:p>
            <w:pPr>
              <w:spacing w:line="400" w:lineRule="atLeast"/>
              <w:jc w:val="center"/>
              <w:rPr>
                <w:rFonts w:hint="eastAsia" w:ascii="新宋体" w:hAnsi="新宋体" w:eastAsia="新宋体" w:cs="新宋体"/>
                <w:color w:val="auto"/>
                <w:sz w:val="24"/>
                <w:highlight w:val="none"/>
              </w:rPr>
            </w:pPr>
          </w:p>
        </w:tc>
        <w:tc>
          <w:tcPr>
            <w:tcW w:w="1248" w:type="dxa"/>
          </w:tcPr>
          <w:p>
            <w:pPr>
              <w:spacing w:line="400" w:lineRule="atLeast"/>
              <w:jc w:val="center"/>
              <w:rPr>
                <w:rFonts w:hint="eastAsia" w:ascii="新宋体" w:hAnsi="新宋体" w:eastAsia="新宋体" w:cs="新宋体"/>
                <w:color w:val="auto"/>
                <w:sz w:val="24"/>
                <w:highlight w:val="none"/>
              </w:rPr>
            </w:pPr>
          </w:p>
        </w:tc>
        <w:tc>
          <w:tcPr>
            <w:tcW w:w="1600" w:type="dxa"/>
          </w:tcPr>
          <w:p>
            <w:pPr>
              <w:spacing w:line="400" w:lineRule="atLeast"/>
              <w:jc w:val="center"/>
              <w:rPr>
                <w:rFonts w:hint="eastAsia" w:ascii="新宋体" w:hAnsi="新宋体" w:eastAsia="新宋体" w:cs="新宋体"/>
                <w:color w:val="auto"/>
                <w:sz w:val="24"/>
                <w:highlight w:val="none"/>
              </w:rPr>
            </w:pPr>
          </w:p>
        </w:tc>
        <w:tc>
          <w:tcPr>
            <w:tcW w:w="1665" w:type="dxa"/>
          </w:tcPr>
          <w:p>
            <w:pPr>
              <w:spacing w:line="400" w:lineRule="atLeast"/>
              <w:jc w:val="center"/>
              <w:rPr>
                <w:rFonts w:hint="eastAsia" w:ascii="新宋体" w:hAnsi="新宋体" w:eastAsia="新宋体" w:cs="新宋体"/>
                <w:color w:val="auto"/>
                <w:sz w:val="24"/>
                <w:highlight w:val="none"/>
              </w:rPr>
            </w:pPr>
          </w:p>
        </w:tc>
        <w:tc>
          <w:tcPr>
            <w:tcW w:w="1878" w:type="dxa"/>
          </w:tcPr>
          <w:p>
            <w:pPr>
              <w:spacing w:line="400" w:lineRule="atLeast"/>
              <w:jc w:val="center"/>
              <w:rPr>
                <w:rFonts w:hint="eastAsia" w:ascii="新宋体" w:hAnsi="新宋体" w:eastAsia="新宋体" w:cs="新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0" w:hRule="atLeast"/>
        </w:trPr>
        <w:tc>
          <w:tcPr>
            <w:tcW w:w="3463" w:type="dxa"/>
          </w:tcPr>
          <w:p>
            <w:pPr>
              <w:spacing w:line="400" w:lineRule="atLeast"/>
              <w:jc w:val="center"/>
              <w:rPr>
                <w:rFonts w:hint="eastAsia" w:ascii="新宋体" w:hAnsi="新宋体" w:eastAsia="新宋体" w:cs="新宋体"/>
                <w:color w:val="auto"/>
                <w:sz w:val="24"/>
                <w:highlight w:val="none"/>
              </w:rPr>
            </w:pPr>
          </w:p>
        </w:tc>
        <w:tc>
          <w:tcPr>
            <w:tcW w:w="1248" w:type="dxa"/>
          </w:tcPr>
          <w:p>
            <w:pPr>
              <w:spacing w:line="400" w:lineRule="atLeast"/>
              <w:jc w:val="center"/>
              <w:rPr>
                <w:rFonts w:hint="eastAsia" w:ascii="新宋体" w:hAnsi="新宋体" w:eastAsia="新宋体" w:cs="新宋体"/>
                <w:color w:val="auto"/>
                <w:sz w:val="24"/>
                <w:highlight w:val="none"/>
              </w:rPr>
            </w:pPr>
          </w:p>
        </w:tc>
        <w:tc>
          <w:tcPr>
            <w:tcW w:w="1600" w:type="dxa"/>
          </w:tcPr>
          <w:p>
            <w:pPr>
              <w:spacing w:line="400" w:lineRule="atLeast"/>
              <w:jc w:val="center"/>
              <w:rPr>
                <w:rFonts w:hint="eastAsia" w:ascii="新宋体" w:hAnsi="新宋体" w:eastAsia="新宋体" w:cs="新宋体"/>
                <w:color w:val="auto"/>
                <w:sz w:val="24"/>
                <w:highlight w:val="none"/>
              </w:rPr>
            </w:pPr>
          </w:p>
        </w:tc>
        <w:tc>
          <w:tcPr>
            <w:tcW w:w="1665" w:type="dxa"/>
          </w:tcPr>
          <w:p>
            <w:pPr>
              <w:spacing w:line="400" w:lineRule="atLeast"/>
              <w:jc w:val="center"/>
              <w:rPr>
                <w:rFonts w:hint="eastAsia" w:ascii="新宋体" w:hAnsi="新宋体" w:eastAsia="新宋体" w:cs="新宋体"/>
                <w:color w:val="auto"/>
                <w:sz w:val="24"/>
                <w:highlight w:val="none"/>
              </w:rPr>
            </w:pPr>
          </w:p>
        </w:tc>
        <w:tc>
          <w:tcPr>
            <w:tcW w:w="1878" w:type="dxa"/>
          </w:tcPr>
          <w:p>
            <w:pPr>
              <w:spacing w:line="400" w:lineRule="atLeast"/>
              <w:jc w:val="center"/>
              <w:rPr>
                <w:rFonts w:hint="eastAsia" w:ascii="新宋体" w:hAnsi="新宋体" w:eastAsia="新宋体" w:cs="新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0" w:hRule="atLeast"/>
        </w:trPr>
        <w:tc>
          <w:tcPr>
            <w:tcW w:w="3463" w:type="dxa"/>
          </w:tcPr>
          <w:p>
            <w:pPr>
              <w:spacing w:line="400" w:lineRule="atLeast"/>
              <w:jc w:val="center"/>
              <w:rPr>
                <w:rFonts w:hint="eastAsia" w:ascii="新宋体" w:hAnsi="新宋体" w:eastAsia="新宋体" w:cs="新宋体"/>
                <w:color w:val="auto"/>
                <w:sz w:val="24"/>
                <w:highlight w:val="none"/>
              </w:rPr>
            </w:pPr>
          </w:p>
        </w:tc>
        <w:tc>
          <w:tcPr>
            <w:tcW w:w="1248" w:type="dxa"/>
          </w:tcPr>
          <w:p>
            <w:pPr>
              <w:spacing w:line="400" w:lineRule="atLeast"/>
              <w:jc w:val="center"/>
              <w:rPr>
                <w:rFonts w:hint="eastAsia" w:ascii="新宋体" w:hAnsi="新宋体" w:eastAsia="新宋体" w:cs="新宋体"/>
                <w:color w:val="auto"/>
                <w:sz w:val="24"/>
                <w:highlight w:val="none"/>
              </w:rPr>
            </w:pPr>
          </w:p>
        </w:tc>
        <w:tc>
          <w:tcPr>
            <w:tcW w:w="1600" w:type="dxa"/>
          </w:tcPr>
          <w:p>
            <w:pPr>
              <w:spacing w:line="400" w:lineRule="atLeast"/>
              <w:jc w:val="center"/>
              <w:rPr>
                <w:rFonts w:hint="eastAsia" w:ascii="新宋体" w:hAnsi="新宋体" w:eastAsia="新宋体" w:cs="新宋体"/>
                <w:color w:val="auto"/>
                <w:sz w:val="24"/>
                <w:highlight w:val="none"/>
              </w:rPr>
            </w:pPr>
          </w:p>
        </w:tc>
        <w:tc>
          <w:tcPr>
            <w:tcW w:w="1665" w:type="dxa"/>
          </w:tcPr>
          <w:p>
            <w:pPr>
              <w:spacing w:line="400" w:lineRule="atLeast"/>
              <w:jc w:val="center"/>
              <w:rPr>
                <w:rFonts w:hint="eastAsia" w:ascii="新宋体" w:hAnsi="新宋体" w:eastAsia="新宋体" w:cs="新宋体"/>
                <w:color w:val="auto"/>
                <w:sz w:val="24"/>
                <w:highlight w:val="none"/>
              </w:rPr>
            </w:pPr>
          </w:p>
        </w:tc>
        <w:tc>
          <w:tcPr>
            <w:tcW w:w="1878" w:type="dxa"/>
          </w:tcPr>
          <w:p>
            <w:pPr>
              <w:spacing w:line="400" w:lineRule="atLeast"/>
              <w:jc w:val="center"/>
              <w:rPr>
                <w:rFonts w:hint="eastAsia" w:ascii="新宋体" w:hAnsi="新宋体" w:eastAsia="新宋体" w:cs="新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460" w:hRule="atLeast"/>
        </w:trPr>
        <w:tc>
          <w:tcPr>
            <w:tcW w:w="3463" w:type="dxa"/>
          </w:tcPr>
          <w:p>
            <w:pPr>
              <w:spacing w:line="400" w:lineRule="atLeast"/>
              <w:jc w:val="center"/>
              <w:rPr>
                <w:rFonts w:hint="eastAsia" w:ascii="新宋体" w:hAnsi="新宋体" w:eastAsia="新宋体" w:cs="新宋体"/>
                <w:color w:val="auto"/>
                <w:sz w:val="24"/>
                <w:highlight w:val="none"/>
              </w:rPr>
            </w:pPr>
          </w:p>
        </w:tc>
        <w:tc>
          <w:tcPr>
            <w:tcW w:w="1248" w:type="dxa"/>
          </w:tcPr>
          <w:p>
            <w:pPr>
              <w:spacing w:line="400" w:lineRule="atLeast"/>
              <w:jc w:val="center"/>
              <w:rPr>
                <w:rFonts w:hint="eastAsia" w:ascii="新宋体" w:hAnsi="新宋体" w:eastAsia="新宋体" w:cs="新宋体"/>
                <w:color w:val="auto"/>
                <w:sz w:val="24"/>
                <w:highlight w:val="none"/>
              </w:rPr>
            </w:pPr>
          </w:p>
        </w:tc>
        <w:tc>
          <w:tcPr>
            <w:tcW w:w="1600" w:type="dxa"/>
          </w:tcPr>
          <w:p>
            <w:pPr>
              <w:spacing w:line="400" w:lineRule="atLeast"/>
              <w:jc w:val="center"/>
              <w:rPr>
                <w:rFonts w:hint="eastAsia" w:ascii="新宋体" w:hAnsi="新宋体" w:eastAsia="新宋体" w:cs="新宋体"/>
                <w:color w:val="auto"/>
                <w:sz w:val="24"/>
                <w:highlight w:val="none"/>
              </w:rPr>
            </w:pPr>
          </w:p>
        </w:tc>
        <w:tc>
          <w:tcPr>
            <w:tcW w:w="1665" w:type="dxa"/>
          </w:tcPr>
          <w:p>
            <w:pPr>
              <w:spacing w:line="400" w:lineRule="atLeast"/>
              <w:jc w:val="center"/>
              <w:rPr>
                <w:rFonts w:hint="eastAsia" w:ascii="新宋体" w:hAnsi="新宋体" w:eastAsia="新宋体" w:cs="新宋体"/>
                <w:color w:val="auto"/>
                <w:sz w:val="24"/>
                <w:highlight w:val="none"/>
              </w:rPr>
            </w:pPr>
          </w:p>
        </w:tc>
        <w:tc>
          <w:tcPr>
            <w:tcW w:w="1878" w:type="dxa"/>
          </w:tcPr>
          <w:p>
            <w:pPr>
              <w:spacing w:line="400" w:lineRule="atLeast"/>
              <w:jc w:val="center"/>
              <w:rPr>
                <w:rFonts w:hint="eastAsia" w:ascii="新宋体" w:hAnsi="新宋体" w:eastAsia="新宋体" w:cs="新宋体"/>
                <w:color w:val="auto"/>
                <w:sz w:val="24"/>
                <w:highlight w:val="none"/>
              </w:rPr>
            </w:pPr>
          </w:p>
        </w:tc>
      </w:tr>
    </w:tbl>
    <w:p>
      <w:pPr>
        <w:spacing w:line="5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p>
    <w:p>
      <w:pPr>
        <w:spacing w:line="380" w:lineRule="exact"/>
        <w:ind w:firstLine="120" w:firstLineChars="5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1、此表仅提供了表格形式，投标供应商应根据需要准备足够数量的表格来填写。</w:t>
      </w:r>
    </w:p>
    <w:p>
      <w:pPr>
        <w:spacing w:line="380" w:lineRule="exact"/>
        <w:rPr>
          <w:rFonts w:hint="eastAsia" w:ascii="新宋体" w:hAnsi="新宋体" w:eastAsia="新宋体" w:cs="新宋体"/>
          <w:color w:val="auto"/>
          <w:sz w:val="24"/>
          <w:highlight w:val="none"/>
        </w:rPr>
      </w:pPr>
    </w:p>
    <w:p>
      <w:pPr>
        <w:spacing w:line="380" w:lineRule="exact"/>
        <w:ind w:firstLine="110" w:firstLineChars="50"/>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投标供应商全称（盖章）：</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w:t>
      </w:r>
    </w:p>
    <w:p>
      <w:pPr>
        <w:spacing w:line="38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日期：  年   月  日 </w:t>
      </w:r>
      <w:bookmarkEnd w:id="127"/>
      <w:bookmarkEnd w:id="128"/>
    </w:p>
    <w:p>
      <w:pPr>
        <w:spacing w:line="500" w:lineRule="exact"/>
        <w:jc w:val="center"/>
        <w:rPr>
          <w:rFonts w:hint="eastAsia" w:ascii="新宋体" w:hAnsi="新宋体" w:eastAsia="新宋体" w:cs="新宋体"/>
          <w:b/>
          <w:bCs/>
          <w:color w:val="auto"/>
          <w:sz w:val="28"/>
          <w:szCs w:val="28"/>
          <w:highlight w:val="none"/>
        </w:rPr>
      </w:pPr>
    </w:p>
    <w:p>
      <w:pPr>
        <w:spacing w:line="360" w:lineRule="auto"/>
        <w:jc w:val="center"/>
        <w:rPr>
          <w:rFonts w:hint="eastAsia" w:ascii="新宋体" w:hAnsi="新宋体" w:eastAsia="新宋体" w:cs="新宋体"/>
          <w:b/>
          <w:bCs/>
          <w:color w:val="auto"/>
          <w:sz w:val="22"/>
          <w:szCs w:val="22"/>
          <w:highlight w:val="none"/>
        </w:rPr>
      </w:pPr>
    </w:p>
    <w:p>
      <w:pPr>
        <w:spacing w:line="360" w:lineRule="auto"/>
        <w:jc w:val="center"/>
        <w:rPr>
          <w:rFonts w:hint="eastAsia" w:ascii="新宋体" w:hAnsi="新宋体" w:eastAsia="新宋体" w:cs="新宋体"/>
          <w:b/>
          <w:bCs/>
          <w:color w:val="auto"/>
          <w:sz w:val="22"/>
          <w:szCs w:val="22"/>
          <w:highlight w:val="none"/>
        </w:rPr>
      </w:pPr>
    </w:p>
    <w:p>
      <w:pPr>
        <w:spacing w:line="360" w:lineRule="auto"/>
        <w:jc w:val="center"/>
        <w:rPr>
          <w:rFonts w:hint="eastAsia" w:ascii="新宋体" w:hAnsi="新宋体" w:eastAsia="新宋体" w:cs="新宋体"/>
          <w:b/>
          <w:bCs/>
          <w:color w:val="auto"/>
          <w:sz w:val="22"/>
          <w:szCs w:val="22"/>
          <w:highlight w:val="none"/>
        </w:rPr>
      </w:pPr>
    </w:p>
    <w:p>
      <w:pPr>
        <w:spacing w:line="360" w:lineRule="auto"/>
        <w:jc w:val="center"/>
        <w:rPr>
          <w:rFonts w:hint="eastAsia" w:ascii="新宋体" w:hAnsi="新宋体" w:eastAsia="新宋体" w:cs="新宋体"/>
          <w:b/>
          <w:bCs/>
          <w:color w:val="auto"/>
          <w:sz w:val="22"/>
          <w:szCs w:val="22"/>
          <w:highlight w:val="none"/>
        </w:rPr>
      </w:pPr>
    </w:p>
    <w:p>
      <w:pPr>
        <w:spacing w:line="360" w:lineRule="auto"/>
        <w:rPr>
          <w:rFonts w:hint="eastAsia" w:ascii="新宋体" w:hAnsi="新宋体" w:eastAsia="新宋体" w:cs="新宋体"/>
          <w:b/>
          <w:bCs/>
          <w:color w:val="auto"/>
          <w:sz w:val="22"/>
          <w:szCs w:val="22"/>
          <w:highlight w:val="none"/>
        </w:rPr>
      </w:pPr>
    </w:p>
    <w:p>
      <w:pPr>
        <w:spacing w:line="360" w:lineRule="auto"/>
        <w:rPr>
          <w:rFonts w:hint="eastAsia" w:ascii="新宋体" w:hAnsi="新宋体" w:eastAsia="新宋体" w:cs="新宋体"/>
          <w:b/>
          <w:bCs/>
          <w:color w:val="auto"/>
          <w:sz w:val="22"/>
          <w:szCs w:val="22"/>
          <w:highlight w:val="none"/>
        </w:rPr>
      </w:pPr>
    </w:p>
    <w:p>
      <w:pPr>
        <w:spacing w:line="360" w:lineRule="auto"/>
        <w:rPr>
          <w:rFonts w:hint="eastAsia" w:ascii="新宋体" w:hAnsi="新宋体" w:eastAsia="新宋体" w:cs="新宋体"/>
          <w:b/>
          <w:bCs/>
          <w:color w:val="auto"/>
          <w:sz w:val="22"/>
          <w:szCs w:val="22"/>
          <w:highlight w:val="none"/>
        </w:rPr>
      </w:pPr>
    </w:p>
    <w:p>
      <w:pPr>
        <w:spacing w:line="360" w:lineRule="auto"/>
        <w:rPr>
          <w:rFonts w:hint="eastAsia" w:ascii="新宋体" w:hAnsi="新宋体" w:eastAsia="新宋体" w:cs="新宋体"/>
          <w:b/>
          <w:bCs/>
          <w:color w:val="auto"/>
          <w:sz w:val="22"/>
          <w:szCs w:val="22"/>
          <w:highlight w:val="none"/>
        </w:rPr>
      </w:pPr>
    </w:p>
    <w:p>
      <w:pPr>
        <w:spacing w:line="360" w:lineRule="auto"/>
        <w:rPr>
          <w:rFonts w:hint="eastAsia" w:ascii="新宋体" w:hAnsi="新宋体" w:eastAsia="新宋体" w:cs="新宋体"/>
          <w:b/>
          <w:bCs/>
          <w:color w:val="auto"/>
          <w:sz w:val="22"/>
          <w:szCs w:val="22"/>
          <w:highlight w:val="none"/>
        </w:rPr>
      </w:pPr>
    </w:p>
    <w:p>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附件十</w:t>
      </w:r>
    </w:p>
    <w:p>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制造商出具的授权函(参考格式)</w:t>
      </w:r>
    </w:p>
    <w:p>
      <w:pPr>
        <w:spacing w:line="360" w:lineRule="auto"/>
        <w:rPr>
          <w:rFonts w:hint="eastAsia" w:ascii="新宋体" w:hAnsi="新宋体" w:eastAsia="新宋体" w:cs="新宋体"/>
          <w:b/>
          <w:bCs/>
          <w:color w:val="auto"/>
          <w:sz w:val="22"/>
          <w:szCs w:val="22"/>
          <w:highlight w:val="none"/>
        </w:rPr>
      </w:pPr>
    </w:p>
    <w:p>
      <w:pPr>
        <w:spacing w:line="360" w:lineRule="auto"/>
        <w:rPr>
          <w:rFonts w:hint="eastAsia" w:ascii="新宋体" w:hAnsi="新宋体" w:eastAsia="新宋体" w:cs="新宋体"/>
          <w:bCs/>
          <w:color w:val="auto"/>
          <w:sz w:val="22"/>
          <w:szCs w:val="22"/>
          <w:highlight w:val="none"/>
          <w:u w:val="single"/>
        </w:rPr>
      </w:pPr>
      <w:r>
        <w:rPr>
          <w:rFonts w:hint="eastAsia" w:ascii="新宋体" w:hAnsi="新宋体" w:eastAsia="新宋体" w:cs="新宋体"/>
          <w:bCs/>
          <w:color w:val="auto"/>
          <w:sz w:val="22"/>
          <w:szCs w:val="22"/>
          <w:highlight w:val="none"/>
        </w:rPr>
        <w:t>致：</w:t>
      </w:r>
      <w:r>
        <w:rPr>
          <w:rFonts w:hint="eastAsia" w:ascii="新宋体" w:hAnsi="新宋体" w:eastAsia="新宋体" w:cs="新宋体"/>
          <w:bCs/>
          <w:color w:val="auto"/>
          <w:sz w:val="22"/>
          <w:szCs w:val="22"/>
          <w:highlight w:val="none"/>
          <w:u w:val="single"/>
        </w:rPr>
        <w:t xml:space="preserve">         （采购人）        </w:t>
      </w:r>
    </w:p>
    <w:p>
      <w:pPr>
        <w:spacing w:line="360" w:lineRule="auto"/>
        <w:ind w:firstLine="48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我们(</w:t>
      </w:r>
      <w:r>
        <w:rPr>
          <w:rFonts w:hint="eastAsia" w:ascii="新宋体" w:hAnsi="新宋体" w:eastAsia="新宋体" w:cs="新宋体"/>
          <w:color w:val="auto"/>
          <w:sz w:val="22"/>
          <w:szCs w:val="22"/>
          <w:highlight w:val="none"/>
          <w:u w:val="single"/>
        </w:rPr>
        <w:t>制造商名称</w:t>
      </w:r>
      <w:r>
        <w:rPr>
          <w:rFonts w:hint="eastAsia" w:ascii="新宋体" w:hAnsi="新宋体" w:eastAsia="新宋体" w:cs="新宋体"/>
          <w:color w:val="auto"/>
          <w:sz w:val="22"/>
          <w:szCs w:val="22"/>
          <w:highlight w:val="none"/>
        </w:rPr>
        <w:t>)是按</w:t>
      </w:r>
      <w:r>
        <w:rPr>
          <w:rFonts w:hint="eastAsia" w:ascii="新宋体" w:hAnsi="新宋体" w:eastAsia="新宋体" w:cs="新宋体"/>
          <w:color w:val="auto"/>
          <w:sz w:val="22"/>
          <w:szCs w:val="22"/>
          <w:highlight w:val="none"/>
          <w:u w:val="single"/>
        </w:rPr>
        <w:t>（国家名称）</w:t>
      </w:r>
      <w:r>
        <w:rPr>
          <w:rFonts w:hint="eastAsia" w:ascii="新宋体" w:hAnsi="新宋体" w:eastAsia="新宋体" w:cs="新宋体"/>
          <w:color w:val="auto"/>
          <w:sz w:val="22"/>
          <w:szCs w:val="22"/>
          <w:highlight w:val="none"/>
        </w:rPr>
        <w:t>法律成立的一家制造商，主要营业地点设在（</w:t>
      </w:r>
      <w:r>
        <w:rPr>
          <w:rFonts w:hint="eastAsia" w:ascii="新宋体" w:hAnsi="新宋体" w:eastAsia="新宋体" w:cs="新宋体"/>
          <w:color w:val="auto"/>
          <w:sz w:val="22"/>
          <w:szCs w:val="22"/>
          <w:highlight w:val="none"/>
          <w:u w:val="single"/>
        </w:rPr>
        <w:t>制造商地址</w:t>
      </w:r>
      <w:r>
        <w:rPr>
          <w:rFonts w:hint="eastAsia" w:ascii="新宋体" w:hAnsi="新宋体" w:eastAsia="新宋体" w:cs="新宋体"/>
          <w:color w:val="auto"/>
          <w:sz w:val="22"/>
          <w:szCs w:val="22"/>
          <w:highlight w:val="none"/>
        </w:rPr>
        <w:t>）。兹指派按中华人民共和国法律成立的，主要营业地点设在（</w:t>
      </w:r>
      <w:r>
        <w:rPr>
          <w:rFonts w:hint="eastAsia" w:ascii="新宋体" w:hAnsi="新宋体" w:eastAsia="新宋体" w:cs="新宋体"/>
          <w:color w:val="auto"/>
          <w:sz w:val="22"/>
          <w:szCs w:val="22"/>
          <w:highlight w:val="none"/>
          <w:u w:val="single"/>
        </w:rPr>
        <w:t>供应商地址</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u w:val="single"/>
        </w:rPr>
        <w:t>供应商名称</w:t>
      </w:r>
      <w:r>
        <w:rPr>
          <w:rFonts w:hint="eastAsia" w:ascii="新宋体" w:hAnsi="新宋体" w:eastAsia="新宋体" w:cs="新宋体"/>
          <w:color w:val="auto"/>
          <w:sz w:val="22"/>
          <w:szCs w:val="22"/>
          <w:highlight w:val="none"/>
        </w:rPr>
        <w:t>）作为我方真正的和合法代理人进行下列有效的活动：</w:t>
      </w:r>
    </w:p>
    <w:p>
      <w:pPr>
        <w:spacing w:line="360" w:lineRule="auto"/>
        <w:ind w:left="586" w:leftChars="17" w:hanging="550" w:hanging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（1）代表我方在中华人民共和国办理贵方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（采购项目名称、编号）采购项目的报价邀请要求提供的由我方制造的货物的有关事宜，并对我方具有约束力。</w:t>
      </w:r>
    </w:p>
    <w:p>
      <w:pPr>
        <w:spacing w:line="360" w:lineRule="auto"/>
        <w:ind w:left="550" w:hanging="550" w:hanging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（2）作为制造商，我方保证以报价合作者来约束自己，并对该报价共同和分别承担报价文件中所规定的义务。</w:t>
      </w:r>
    </w:p>
    <w:p>
      <w:pPr>
        <w:spacing w:line="360" w:lineRule="auto"/>
        <w:ind w:left="550" w:hanging="550" w:hanging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（3）我方兹授予（</w:t>
      </w:r>
      <w:r>
        <w:rPr>
          <w:rFonts w:hint="eastAsia" w:ascii="新宋体" w:hAnsi="新宋体" w:eastAsia="新宋体" w:cs="新宋体"/>
          <w:color w:val="auto"/>
          <w:sz w:val="22"/>
          <w:szCs w:val="22"/>
          <w:highlight w:val="none"/>
          <w:u w:val="single"/>
        </w:rPr>
        <w:t>供应商名称</w:t>
      </w:r>
      <w:r>
        <w:rPr>
          <w:rFonts w:hint="eastAsia" w:ascii="新宋体" w:hAnsi="新宋体" w:eastAsia="新宋体" w:cs="新宋体"/>
          <w:color w:val="auto"/>
          <w:sz w:val="22"/>
          <w:szCs w:val="22"/>
          <w:highlight w:val="none"/>
        </w:rPr>
        <w:t>）全权办理和履行上述我方为完成上述各点所必须的事宜，具有替换或撤销的全权。兹确认（</w:t>
      </w:r>
      <w:r>
        <w:rPr>
          <w:rFonts w:hint="eastAsia" w:ascii="新宋体" w:hAnsi="新宋体" w:eastAsia="新宋体" w:cs="新宋体"/>
          <w:color w:val="auto"/>
          <w:sz w:val="22"/>
          <w:szCs w:val="22"/>
          <w:highlight w:val="none"/>
          <w:u w:val="single"/>
        </w:rPr>
        <w:t>供应商名称</w:t>
      </w:r>
      <w:r>
        <w:rPr>
          <w:rFonts w:hint="eastAsia" w:ascii="新宋体" w:hAnsi="新宋体" w:eastAsia="新宋体" w:cs="新宋体"/>
          <w:color w:val="auto"/>
          <w:sz w:val="22"/>
          <w:szCs w:val="22"/>
          <w:highlight w:val="none"/>
        </w:rPr>
        <w:t>）或其正式授权代表依此合法地办理一切事宜。</w:t>
      </w:r>
    </w:p>
    <w:p>
      <w:pPr>
        <w:spacing w:line="360" w:lineRule="auto"/>
        <w:ind w:firstLine="550" w:firstLineChars="250"/>
        <w:rPr>
          <w:rFonts w:hint="eastAsia" w:ascii="新宋体" w:hAnsi="新宋体" w:eastAsia="新宋体" w:cs="新宋体"/>
          <w:color w:val="auto"/>
          <w:sz w:val="22"/>
          <w:szCs w:val="22"/>
          <w:highlight w:val="none"/>
        </w:rPr>
      </w:pPr>
    </w:p>
    <w:p>
      <w:pPr>
        <w:spacing w:line="360" w:lineRule="auto"/>
        <w:ind w:left="548" w:leftChars="261" w:firstLine="2"/>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日签署本文件，（</w:t>
      </w:r>
      <w:r>
        <w:rPr>
          <w:rFonts w:hint="eastAsia" w:ascii="新宋体" w:hAnsi="新宋体" w:eastAsia="新宋体" w:cs="新宋体"/>
          <w:color w:val="auto"/>
          <w:sz w:val="22"/>
          <w:szCs w:val="22"/>
          <w:highlight w:val="none"/>
          <w:u w:val="single"/>
        </w:rPr>
        <w:t>供应商名称</w:t>
      </w:r>
      <w:r>
        <w:rPr>
          <w:rFonts w:hint="eastAsia" w:ascii="新宋体" w:hAnsi="新宋体" w:eastAsia="新宋体" w:cs="新宋体"/>
          <w:color w:val="auto"/>
          <w:sz w:val="22"/>
          <w:szCs w:val="22"/>
          <w:highlight w:val="none"/>
        </w:rPr>
        <w:t>）于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日接受此件，以此为证。</w:t>
      </w:r>
    </w:p>
    <w:p>
      <w:pPr>
        <w:spacing w:line="360" w:lineRule="auto"/>
        <w:rPr>
          <w:rFonts w:hint="eastAsia" w:ascii="新宋体" w:hAnsi="新宋体" w:eastAsia="新宋体" w:cs="新宋体"/>
          <w:color w:val="auto"/>
          <w:sz w:val="22"/>
          <w:szCs w:val="22"/>
          <w:highlight w:val="none"/>
        </w:rPr>
      </w:pPr>
    </w:p>
    <w:p>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360" w:lineRule="auto"/>
        <w:rPr>
          <w:rFonts w:hint="eastAsia" w:ascii="新宋体" w:hAnsi="新宋体" w:eastAsia="新宋体" w:cs="新宋体"/>
          <w:color w:val="auto"/>
          <w:sz w:val="22"/>
          <w:szCs w:val="22"/>
          <w:highlight w:val="none"/>
        </w:rPr>
      </w:pPr>
    </w:p>
    <w:p>
      <w:pPr>
        <w:spacing w:line="360" w:lineRule="auto"/>
        <w:ind w:firstLine="5247" w:firstLineChars="2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w:t>
      </w:r>
    </w:p>
    <w:p>
      <w:pPr>
        <w:spacing w:line="360" w:lineRule="auto"/>
        <w:ind w:firstLine="5247" w:firstLineChars="2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法定代表人姓名和职务:                 </w:t>
      </w:r>
    </w:p>
    <w:p>
      <w:pPr>
        <w:spacing w:line="360" w:lineRule="auto"/>
        <w:ind w:firstLine="5247" w:firstLineChars="238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签字人姓名:                      </w:t>
      </w:r>
    </w:p>
    <w:p>
      <w:pPr>
        <w:spacing w:line="360" w:lineRule="auto"/>
        <w:ind w:firstLine="5060" w:firstLineChars="2300"/>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w:t xml:space="preserve"> 签字人签名：</w:t>
      </w:r>
      <w:r>
        <w:rPr>
          <w:rFonts w:hint="eastAsia" w:ascii="新宋体" w:hAnsi="新宋体" w:eastAsia="新宋体" w:cs="新宋体"/>
          <w:color w:val="auto"/>
          <w:sz w:val="22"/>
          <w:szCs w:val="22"/>
          <w:highlight w:val="none"/>
          <w:u w:val="single"/>
        </w:rPr>
        <w:t xml:space="preserve">          </w:t>
      </w:r>
    </w:p>
    <w:p>
      <w:pPr>
        <w:spacing w:line="360" w:lineRule="auto"/>
        <w:rPr>
          <w:rFonts w:hint="eastAsia" w:ascii="新宋体" w:hAnsi="新宋体" w:eastAsia="新宋体" w:cs="新宋体"/>
          <w:color w:val="auto"/>
          <w:sz w:val="22"/>
          <w:szCs w:val="22"/>
          <w:highlight w:val="none"/>
        </w:rPr>
      </w:pPr>
    </w:p>
    <w:p>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sectPr>
      <w:footerReference r:id="rId14" w:type="first"/>
      <w:type w:val="nextColumn"/>
      <w:pgSz w:w="11906" w:h="16838"/>
      <w:pgMar w:top="1134" w:right="1134" w:bottom="1134" w:left="1134"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ZapfDingbatsNr2EFOP-Regular">
    <w:altName w:val="黑体"/>
    <w:panose1 w:val="00000000000000000000"/>
    <w:charset w:val="86"/>
    <w:family w:val="auto"/>
    <w:pitch w:val="default"/>
    <w:sig w:usb0="00000000" w:usb1="00000000" w:usb2="00000010" w:usb3="00000000" w:csb0="00040001" w:csb1="00000000"/>
  </w:font>
  <w:font w:name="Helvetica Neue">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Linotype Univers 330 Light">
    <w:altName w:val="宋体"/>
    <w:panose1 w:val="00000000000000000000"/>
    <w:charset w:val="86"/>
    <w:family w:val="swiss"/>
    <w:pitch w:val="default"/>
    <w:sig w:usb0="00000000" w:usb1="00000000" w:usb2="00000010" w:usb3="00000000" w:csb0="00040000" w:csb1="00000000"/>
  </w:font>
  <w:font w:name="Century Gothic">
    <w:altName w:val="Segoe Print"/>
    <w:panose1 w:val="00000000000000000000"/>
    <w:charset w:val="00"/>
    <w:family w:val="swiss"/>
    <w:pitch w:val="default"/>
    <w:sig w:usb0="00000000" w:usb1="00000000" w:usb2="00000000" w:usb3="00000000" w:csb0="0000009F" w:csb1="00000000"/>
  </w:font>
  <w:font w:name="Univers LT Std 47 Cn Lt">
    <w:altName w:val="宋体"/>
    <w:panose1 w:val="00000000000000000000"/>
    <w:charset w:val="86"/>
    <w:family w:val="swiss"/>
    <w:pitch w:val="default"/>
    <w:sig w:usb0="00000000" w:usb1="00000000" w:usb2="00000010" w:usb3="00000000" w:csb0="00040000" w:csb1="00000000"/>
  </w:font>
  <w:font w:name="Univers LT Std 57 Cn">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firstLine="4410" w:firstLineChars="245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2"/>
      </w:rPr>
    </w:pPr>
    <w:r>
      <w:fldChar w:fldCharType="begin"/>
    </w:r>
    <w:r>
      <w:rPr>
        <w:rStyle w:val="52"/>
      </w:rPr>
      <w:instrText xml:space="preserve">PAGE  </w:instrText>
    </w:r>
    <w:r>
      <w:fldChar w:fldCharType="separate"/>
    </w:r>
    <w:r>
      <w:fldChar w:fldCharType="end"/>
    </w:r>
  </w:p>
  <w:p>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top w:val="single" w:color="auto" w:sz="4" w:space="1"/>
      </w:pBdr>
      <w:ind w:right="-82" w:rightChars="-39" w:firstLine="4410" w:firstLineChars="2450"/>
      <w:jc w:val="right"/>
      <w:rPr>
        <w:rFonts w:hint="eastAsia" w:ascii="宋体" w:hAnsi="宋体" w:cs="宋体"/>
      </w:rPr>
    </w:pPr>
    <w:r>
      <w:pict>
        <v:shape id="_x0000_s4098" o:spid="_x0000_s4098"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pStyle w:val="34"/>
                  <w:rPr>
                    <w:rStyle w:val="52"/>
                    <w:rFonts w:hAnsi="黑体"/>
                    <w:b/>
                    <w:szCs w:val="18"/>
                  </w:rPr>
                </w:pPr>
                <w:r>
                  <w:rPr>
                    <w:rFonts w:ascii="黑体" w:hAnsi="黑体" w:eastAsia="黑体"/>
                    <w:b/>
                  </w:rPr>
                  <w:fldChar w:fldCharType="begin"/>
                </w:r>
                <w:r>
                  <w:rPr>
                    <w:rStyle w:val="52"/>
                    <w:rFonts w:hAnsi="黑体"/>
                    <w:b/>
                    <w:szCs w:val="18"/>
                  </w:rPr>
                  <w:instrText xml:space="preserve">PAGE  </w:instrText>
                </w:r>
                <w:r>
                  <w:rPr>
                    <w:rFonts w:ascii="黑体" w:hAnsi="黑体" w:eastAsia="黑体"/>
                    <w:b/>
                  </w:rPr>
                  <w:fldChar w:fldCharType="separate"/>
                </w:r>
                <w:r>
                  <w:rPr>
                    <w:rStyle w:val="52"/>
                    <w:rFonts w:hAnsi="黑体"/>
                    <w:b/>
                    <w:szCs w:val="18"/>
                  </w:rPr>
                  <w:t>50</w:t>
                </w:r>
                <w:r>
                  <w:rPr>
                    <w:rFonts w:ascii="黑体" w:hAnsi="黑体" w:eastAsia="黑体"/>
                    <w:b/>
                  </w:rPr>
                  <w:fldChar w:fldCharType="end"/>
                </w:r>
              </w:p>
            </w:txbxContent>
          </v:textbox>
        </v:shape>
      </w:pict>
    </w:r>
    <w:r>
      <w:rPr>
        <w:rFonts w:hint="eastAsia" w:ascii="宋体" w:hAnsi="宋体" w:cs="宋体"/>
      </w:rPr>
      <w:t>浙江省成套招标代理有限公司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2"/>
      </w:rPr>
    </w:pPr>
    <w:r>
      <w:fldChar w:fldCharType="begin"/>
    </w:r>
    <w:r>
      <w:rPr>
        <w:rStyle w:val="52"/>
      </w:rPr>
      <w:instrText xml:space="preserve">PAGE  </w:instrText>
    </w:r>
    <w:r>
      <w:fldChar w:fldCharType="separate"/>
    </w:r>
    <w:r>
      <w:rPr>
        <w:rStyle w:val="52"/>
      </w:rPr>
      <w:t>58</w:t>
    </w:r>
    <w:r>
      <w:fldChar w:fldCharType="end"/>
    </w:r>
  </w:p>
  <w:p>
    <w:pPr>
      <w:pStyle w:val="3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p>
            </w:txbxContent>
          </v:textbox>
        </v:shape>
      </w:pic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39</w:t>
                </w:r>
                <w:r>
                  <w:rPr>
                    <w:rFonts w:hint="eastAsia"/>
                    <w:sz w:val="18"/>
                  </w:rPr>
                  <w:fldChar w:fldCharType="end"/>
                </w:r>
              </w:p>
            </w:txbxContent>
          </v:textbox>
        </v:shape>
      </w:pict>
    </w:r>
    <w:r>
      <w:pict>
        <v:rect id="文本框6" o:spid="_x0000_s4100" o:spt="1" style="position:absolute;left:0pt;margin-top:0pt;height:12.05pt;width:10.55pt;mso-position-horizontal:center;mso-position-horizontal-relative:margin;mso-wrap-style:none;z-index:251656192;mso-width-relative:page;mso-height-relative:page;" filled="f" stroked="f" coordsize="21600,21600">
          <v:path/>
          <v:fill on="f" focussize="0,0"/>
          <v:stroke on="f"/>
          <v:imagedata o:title=""/>
          <o:lock v:ext="edit"/>
          <v:textbox inset="0mm,0mm,0mm,0mm" style="mso-fit-shape-to-text:t;">
            <w:txbxContent>
              <w:p>
                <w:pPr>
                  <w:snapToGrid w:val="0"/>
                  <w:rPr>
                    <w:rFonts w:hint="eastAsia"/>
                    <w:sz w:val="18"/>
                  </w:rPr>
                </w:pPr>
              </w:p>
            </w:txbxContent>
          </v:textbox>
        </v:rect>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 xml:space="preserve">温州市政府采购竞争性磋商采购文件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Fonts w:hint="eastAsia" w:ascii="宋体" w:hAnsi="宋体" w:cs="宋体"/>
      </w:rPr>
    </w:pPr>
    <w:r>
      <w:rPr>
        <w:rFonts w:hint="eastAsia" w:ascii="宋体" w:hAnsi="宋体" w:cs="宋体"/>
      </w:rPr>
      <w:t>温州医科大学附属口腔医院竞争性磋商采购文件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9444"/>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pStyle w:val="19"/>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7"/>
    <w:multiLevelType w:val="multilevel"/>
    <w:tmpl w:val="00000007"/>
    <w:lvl w:ilvl="0" w:tentative="0">
      <w:start w:val="5"/>
      <w:numFmt w:val="decimal"/>
      <w:pStyle w:val="372"/>
      <w:lvlText w:val="%1."/>
      <w:lvlJc w:val="left"/>
      <w:pPr>
        <w:tabs>
          <w:tab w:val="left" w:pos="360"/>
        </w:tabs>
        <w:ind w:left="360" w:hanging="360"/>
      </w:pPr>
      <w:rPr>
        <w:rFonts w:hint="default"/>
      </w:rPr>
    </w:lvl>
    <w:lvl w:ilvl="1" w:tentative="0">
      <w:start w:val="0"/>
      <w:numFmt w:val="none"/>
      <w:pStyle w:val="320"/>
      <w:lvlText w:val=""/>
      <w:lvlJc w:val="left"/>
      <w:pPr>
        <w:tabs>
          <w:tab w:val="left" w:pos="360"/>
        </w:tabs>
      </w:pPr>
    </w:lvl>
    <w:lvl w:ilvl="2" w:tentative="0">
      <w:start w:val="0"/>
      <w:numFmt w:val="none"/>
      <w:pStyle w:val="267"/>
      <w:lvlText w:val=""/>
      <w:lvlJc w:val="left"/>
      <w:pPr>
        <w:tabs>
          <w:tab w:val="left" w:pos="360"/>
        </w:tabs>
      </w:pPr>
    </w:lvl>
    <w:lvl w:ilvl="3" w:tentative="0">
      <w:start w:val="0"/>
      <w:numFmt w:val="none"/>
      <w:pStyle w:val="266"/>
      <w:lvlText w:val=""/>
      <w:lvlJc w:val="left"/>
      <w:pPr>
        <w:tabs>
          <w:tab w:val="left" w:pos="360"/>
        </w:tabs>
      </w:pPr>
    </w:lvl>
    <w:lvl w:ilvl="4" w:tentative="0">
      <w:start w:val="0"/>
      <w:numFmt w:val="none"/>
      <w:pStyle w:val="265"/>
      <w:lvlText w:val=""/>
      <w:lvlJc w:val="left"/>
      <w:pPr>
        <w:tabs>
          <w:tab w:val="left" w:pos="360"/>
        </w:tabs>
      </w:pPr>
    </w:lvl>
    <w:lvl w:ilvl="5" w:tentative="0">
      <w:start w:val="0"/>
      <w:numFmt w:val="none"/>
      <w:pStyle w:val="264"/>
      <w:lvlText w:val=""/>
      <w:lvlJc w:val="left"/>
      <w:pPr>
        <w:tabs>
          <w:tab w:val="left" w:pos="360"/>
        </w:tabs>
      </w:pPr>
    </w:lvl>
    <w:lvl w:ilvl="6" w:tentative="0">
      <w:start w:val="0"/>
      <w:numFmt w:val="none"/>
      <w:pStyle w:val="308"/>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056C3F12"/>
    <w:multiLevelType w:val="multilevel"/>
    <w:tmpl w:val="056C3F12"/>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Times New Roman" w:hAnsi="Times New Roman" w:cs="Times New Roman"/>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07D80E56"/>
    <w:multiLevelType w:val="multilevel"/>
    <w:tmpl w:val="07D80E56"/>
    <w:lvl w:ilvl="0" w:tentative="0">
      <w:start w:val="1"/>
      <w:numFmt w:val="decimal"/>
      <w:lvlText w:val="%1."/>
      <w:lvlJc w:val="left"/>
      <w:pPr>
        <w:tabs>
          <w:tab w:val="left" w:pos="420"/>
        </w:tabs>
        <w:ind w:left="420" w:hanging="420"/>
      </w:pPr>
      <w:rPr>
        <w:rFonts w:hint="default" w:ascii="Times New Roman" w:hAnsi="Times New Roman" w:cs="Times New Roman"/>
        <w:b w:val="0"/>
      </w:rPr>
    </w:lvl>
    <w:lvl w:ilvl="1" w:tentative="0">
      <w:start w:val="1"/>
      <w:numFmt w:val="japaneseCounting"/>
      <w:lvlText w:val="%2、"/>
      <w:lvlJc w:val="left"/>
      <w:pPr>
        <w:tabs>
          <w:tab w:val="left" w:pos="870"/>
        </w:tabs>
        <w:ind w:left="870" w:hanging="450"/>
      </w:pPr>
      <w:rPr>
        <w:rFonts w:hint="default"/>
      </w:rPr>
    </w:lvl>
    <w:lvl w:ilvl="2" w:tentative="0">
      <w:start w:val="5"/>
      <w:numFmt w:val="decimal"/>
      <w:lvlText w:val="(%3)"/>
      <w:lvlJc w:val="left"/>
      <w:pPr>
        <w:tabs>
          <w:tab w:val="left" w:pos="1680"/>
        </w:tabs>
        <w:ind w:left="1680" w:hanging="84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83C25C1"/>
    <w:multiLevelType w:val="multilevel"/>
    <w:tmpl w:val="083C25C1"/>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F380F"/>
    <w:multiLevelType w:val="multilevel"/>
    <w:tmpl w:val="18EF380F"/>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30A60BCF"/>
    <w:multiLevelType w:val="multilevel"/>
    <w:tmpl w:val="30A60BCF"/>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30AC69EE"/>
    <w:multiLevelType w:val="multilevel"/>
    <w:tmpl w:val="30AC69EE"/>
    <w:lvl w:ilvl="0" w:tentative="0">
      <w:start w:val="1"/>
      <w:numFmt w:val="decimal"/>
      <w:lvlText w:val="（%1）"/>
      <w:lvlJc w:val="left"/>
      <w:pPr>
        <w:tabs>
          <w:tab w:val="left" w:pos="420"/>
        </w:tabs>
        <w:ind w:left="420" w:hanging="420"/>
      </w:pPr>
      <w:rPr>
        <w:rFonts w:hint="default" w:ascii="Arial" w:hAnsi="Arial" w:cs="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E9C1B21"/>
    <w:multiLevelType w:val="multilevel"/>
    <w:tmpl w:val="3E9C1B2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Times New Roman" w:hAnsi="Times New Roman" w:cs="Times New Roman"/>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3F7235CB"/>
    <w:multiLevelType w:val="multilevel"/>
    <w:tmpl w:val="3F7235C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default" w:ascii="Times New Roman" w:hAnsi="Times New Roman" w:cs="Times New Roman"/>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4DD64FA7"/>
    <w:multiLevelType w:val="multilevel"/>
    <w:tmpl w:val="4DD64FA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571C28A9"/>
    <w:multiLevelType w:val="multilevel"/>
    <w:tmpl w:val="571C28A9"/>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Times New Roman" w:hAnsi="Times New Roman" w:cs="Times New Roman"/>
        <w:b w:val="0"/>
      </w:rPr>
    </w:lvl>
    <w:lvl w:ilvl="2" w:tentative="0">
      <w:start w:val="1"/>
      <w:numFmt w:val="decimal"/>
      <w:lvlText w:val="%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57E32A5B"/>
    <w:multiLevelType w:val="singleLevel"/>
    <w:tmpl w:val="57E32A5B"/>
    <w:lvl w:ilvl="0" w:tentative="0">
      <w:start w:val="4"/>
      <w:numFmt w:val="decimal"/>
      <w:suff w:val="space"/>
      <w:lvlText w:val="%1．"/>
      <w:lvlJc w:val="left"/>
    </w:lvl>
  </w:abstractNum>
  <w:abstractNum w:abstractNumId="13">
    <w:nsid w:val="58F720FC"/>
    <w:multiLevelType w:val="multilevel"/>
    <w:tmpl w:val="58F720FC"/>
    <w:lvl w:ilvl="0" w:tentative="0">
      <w:start w:val="1"/>
      <w:numFmt w:val="decimal"/>
      <w:lvlText w:val="%1)"/>
      <w:lvlJc w:val="left"/>
      <w:pPr>
        <w:tabs>
          <w:tab w:val="left" w:pos="780"/>
        </w:tabs>
        <w:ind w:left="780" w:hanging="420"/>
      </w:pPr>
      <w:rPr>
        <w:rFonts w:hint="eastAsia" w:ascii="楷体_GB2312" w:hAnsi="Times New Roman" w:eastAsia="楷体_GB2312" w:cs="Times New Roman"/>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A1B5EA9"/>
    <w:multiLevelType w:val="singleLevel"/>
    <w:tmpl w:val="5A1B5EA9"/>
    <w:lvl w:ilvl="0" w:tentative="0">
      <w:start w:val="1"/>
      <w:numFmt w:val="decimal"/>
      <w:suff w:val="nothing"/>
      <w:lvlText w:val="%1．"/>
      <w:lvlJc w:val="left"/>
      <w:pPr>
        <w:ind w:left="0" w:firstLine="400"/>
      </w:pPr>
      <w:rPr>
        <w:rFonts w:hint="default"/>
      </w:rPr>
    </w:lvl>
  </w:abstractNum>
  <w:abstractNum w:abstractNumId="15">
    <w:nsid w:val="5EB21F54"/>
    <w:multiLevelType w:val="multilevel"/>
    <w:tmpl w:val="5EB21F54"/>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Times New Roman" w:hAnsi="Times New Roman" w:cs="Times New Roman"/>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63295728"/>
    <w:multiLevelType w:val="multilevel"/>
    <w:tmpl w:val="6329572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F9E3E9C"/>
    <w:multiLevelType w:val="multilevel"/>
    <w:tmpl w:val="6F9E3E9C"/>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77024DDF"/>
    <w:multiLevelType w:val="multilevel"/>
    <w:tmpl w:val="77024DDF"/>
    <w:lvl w:ilvl="0" w:tentative="0">
      <w:start w:val="1"/>
      <w:numFmt w:val="upperLetter"/>
      <w:lvlText w:val="%1."/>
      <w:lvlJc w:val="left"/>
      <w:pPr>
        <w:tabs>
          <w:tab w:val="left" w:pos="780"/>
        </w:tabs>
        <w:ind w:left="780" w:hanging="420"/>
      </w:pPr>
    </w:lvl>
    <w:lvl w:ilvl="1" w:tentative="0">
      <w:start w:val="1"/>
      <w:numFmt w:val="decimal"/>
      <w:lvlText w:val="%2、"/>
      <w:lvlJc w:val="left"/>
      <w:pPr>
        <w:tabs>
          <w:tab w:val="left" w:pos="1500"/>
        </w:tabs>
        <w:ind w:left="1500" w:hanging="720"/>
      </w:pPr>
      <w:rPr>
        <w:rFonts w:hint="default"/>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 w:numId="2">
    <w:abstractNumId w:val="1"/>
  </w:num>
  <w:num w:numId="3">
    <w:abstractNumId w:val="14"/>
  </w:num>
  <w:num w:numId="4">
    <w:abstractNumId w:val="4"/>
  </w:num>
  <w:num w:numId="5">
    <w:abstractNumId w:val="18"/>
  </w:num>
  <w:num w:numId="6">
    <w:abstractNumId w:val="13"/>
  </w:num>
  <w:num w:numId="7">
    <w:abstractNumId w:val="5"/>
  </w:num>
  <w:num w:numId="8">
    <w:abstractNumId w:val="17"/>
  </w:num>
  <w:num w:numId="9">
    <w:abstractNumId w:val="12"/>
  </w:num>
  <w:num w:numId="10">
    <w:abstractNumId w:val="7"/>
  </w:num>
  <w:num w:numId="11">
    <w:abstractNumId w:val="3"/>
  </w:num>
  <w:num w:numId="12">
    <w:abstractNumId w:val="10"/>
  </w:num>
  <w:num w:numId="13">
    <w:abstractNumId w:val="6"/>
  </w:num>
  <w:num w:numId="14">
    <w:abstractNumId w:val="9"/>
  </w:num>
  <w:num w:numId="15">
    <w:abstractNumId w:val="8"/>
  </w:num>
  <w:num w:numId="16">
    <w:abstractNumId w:val="2"/>
  </w:num>
  <w:num w:numId="17">
    <w:abstractNumId w:val="15"/>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0D24"/>
    <w:rsid w:val="000020D1"/>
    <w:rsid w:val="000179AA"/>
    <w:rsid w:val="00024B59"/>
    <w:rsid w:val="00025364"/>
    <w:rsid w:val="00025A54"/>
    <w:rsid w:val="00034534"/>
    <w:rsid w:val="00041F17"/>
    <w:rsid w:val="000528C6"/>
    <w:rsid w:val="000765F2"/>
    <w:rsid w:val="000921ED"/>
    <w:rsid w:val="000961E2"/>
    <w:rsid w:val="00096BB9"/>
    <w:rsid w:val="000A10A2"/>
    <w:rsid w:val="000A2076"/>
    <w:rsid w:val="000A7E5E"/>
    <w:rsid w:val="000B4E1F"/>
    <w:rsid w:val="000B75CB"/>
    <w:rsid w:val="000C0F51"/>
    <w:rsid w:val="000C1E25"/>
    <w:rsid w:val="000C58F2"/>
    <w:rsid w:val="000D0679"/>
    <w:rsid w:val="000D3765"/>
    <w:rsid w:val="000E37E0"/>
    <w:rsid w:val="000E74F4"/>
    <w:rsid w:val="000F31F1"/>
    <w:rsid w:val="000F6EC7"/>
    <w:rsid w:val="001048C4"/>
    <w:rsid w:val="00113898"/>
    <w:rsid w:val="00115BF0"/>
    <w:rsid w:val="0011601B"/>
    <w:rsid w:val="001203AA"/>
    <w:rsid w:val="00120AE6"/>
    <w:rsid w:val="00132584"/>
    <w:rsid w:val="001328F7"/>
    <w:rsid w:val="00136ECD"/>
    <w:rsid w:val="00137AC1"/>
    <w:rsid w:val="00157D81"/>
    <w:rsid w:val="00161445"/>
    <w:rsid w:val="00165AEE"/>
    <w:rsid w:val="00166956"/>
    <w:rsid w:val="00181DEF"/>
    <w:rsid w:val="00185CB3"/>
    <w:rsid w:val="001907CE"/>
    <w:rsid w:val="00193F4C"/>
    <w:rsid w:val="001952CC"/>
    <w:rsid w:val="0019549E"/>
    <w:rsid w:val="001A0A65"/>
    <w:rsid w:val="001A781D"/>
    <w:rsid w:val="001B192B"/>
    <w:rsid w:val="001B281E"/>
    <w:rsid w:val="001C18E4"/>
    <w:rsid w:val="001C6714"/>
    <w:rsid w:val="001D000C"/>
    <w:rsid w:val="001D1BF1"/>
    <w:rsid w:val="001D32C3"/>
    <w:rsid w:val="001E3203"/>
    <w:rsid w:val="001E39BB"/>
    <w:rsid w:val="001E6123"/>
    <w:rsid w:val="001F04E0"/>
    <w:rsid w:val="001F55A7"/>
    <w:rsid w:val="00205090"/>
    <w:rsid w:val="00205A5C"/>
    <w:rsid w:val="002071D0"/>
    <w:rsid w:val="002135E8"/>
    <w:rsid w:val="00223A14"/>
    <w:rsid w:val="00225414"/>
    <w:rsid w:val="00225FB0"/>
    <w:rsid w:val="00231743"/>
    <w:rsid w:val="00234100"/>
    <w:rsid w:val="00234C5A"/>
    <w:rsid w:val="00237F32"/>
    <w:rsid w:val="00237F52"/>
    <w:rsid w:val="00240F97"/>
    <w:rsid w:val="0024477A"/>
    <w:rsid w:val="002453F2"/>
    <w:rsid w:val="00245CB6"/>
    <w:rsid w:val="00245E73"/>
    <w:rsid w:val="002612C9"/>
    <w:rsid w:val="002808A3"/>
    <w:rsid w:val="0028173C"/>
    <w:rsid w:val="00283764"/>
    <w:rsid w:val="00296B0D"/>
    <w:rsid w:val="002A2D6B"/>
    <w:rsid w:val="002A3701"/>
    <w:rsid w:val="002A7082"/>
    <w:rsid w:val="002B0EFA"/>
    <w:rsid w:val="002B2EA4"/>
    <w:rsid w:val="002B7EA6"/>
    <w:rsid w:val="002C0713"/>
    <w:rsid w:val="002C133A"/>
    <w:rsid w:val="002C6213"/>
    <w:rsid w:val="002D36F0"/>
    <w:rsid w:val="002D4A76"/>
    <w:rsid w:val="002E3ED6"/>
    <w:rsid w:val="002E44AF"/>
    <w:rsid w:val="002E4E17"/>
    <w:rsid w:val="002F0717"/>
    <w:rsid w:val="002F5E0B"/>
    <w:rsid w:val="002F7683"/>
    <w:rsid w:val="0030498F"/>
    <w:rsid w:val="00317168"/>
    <w:rsid w:val="00330F68"/>
    <w:rsid w:val="003331F4"/>
    <w:rsid w:val="003334E2"/>
    <w:rsid w:val="00333FD2"/>
    <w:rsid w:val="00334582"/>
    <w:rsid w:val="00334CA0"/>
    <w:rsid w:val="00341A59"/>
    <w:rsid w:val="0035123F"/>
    <w:rsid w:val="0035369C"/>
    <w:rsid w:val="003606A0"/>
    <w:rsid w:val="003636A3"/>
    <w:rsid w:val="00370103"/>
    <w:rsid w:val="0037030E"/>
    <w:rsid w:val="0037045B"/>
    <w:rsid w:val="00374BBC"/>
    <w:rsid w:val="00377EA3"/>
    <w:rsid w:val="003857DC"/>
    <w:rsid w:val="00394384"/>
    <w:rsid w:val="003A1A9C"/>
    <w:rsid w:val="003B4250"/>
    <w:rsid w:val="003B6D7D"/>
    <w:rsid w:val="003D65AE"/>
    <w:rsid w:val="003E4D61"/>
    <w:rsid w:val="003F1255"/>
    <w:rsid w:val="003F44B2"/>
    <w:rsid w:val="00405799"/>
    <w:rsid w:val="00407525"/>
    <w:rsid w:val="00407B88"/>
    <w:rsid w:val="00407D5F"/>
    <w:rsid w:val="004100A0"/>
    <w:rsid w:val="00412D3D"/>
    <w:rsid w:val="00414959"/>
    <w:rsid w:val="00430108"/>
    <w:rsid w:val="004412DE"/>
    <w:rsid w:val="004551E9"/>
    <w:rsid w:val="004554DD"/>
    <w:rsid w:val="004574C5"/>
    <w:rsid w:val="0047158F"/>
    <w:rsid w:val="004727D0"/>
    <w:rsid w:val="0048110A"/>
    <w:rsid w:val="004821A8"/>
    <w:rsid w:val="00485DA3"/>
    <w:rsid w:val="004956DF"/>
    <w:rsid w:val="004A1225"/>
    <w:rsid w:val="004A3332"/>
    <w:rsid w:val="004B02B4"/>
    <w:rsid w:val="004B3428"/>
    <w:rsid w:val="004B617F"/>
    <w:rsid w:val="004D50EE"/>
    <w:rsid w:val="004D7594"/>
    <w:rsid w:val="004E5358"/>
    <w:rsid w:val="004E5D4B"/>
    <w:rsid w:val="004F0BB1"/>
    <w:rsid w:val="004F246B"/>
    <w:rsid w:val="005008C7"/>
    <w:rsid w:val="00504D6A"/>
    <w:rsid w:val="00514650"/>
    <w:rsid w:val="00526F98"/>
    <w:rsid w:val="00531AA7"/>
    <w:rsid w:val="00543D9A"/>
    <w:rsid w:val="005517A8"/>
    <w:rsid w:val="00551F4A"/>
    <w:rsid w:val="00564B33"/>
    <w:rsid w:val="00567CB7"/>
    <w:rsid w:val="00572BE1"/>
    <w:rsid w:val="00573CEF"/>
    <w:rsid w:val="005754DB"/>
    <w:rsid w:val="005756AB"/>
    <w:rsid w:val="005830B3"/>
    <w:rsid w:val="00584716"/>
    <w:rsid w:val="00584782"/>
    <w:rsid w:val="005A43B4"/>
    <w:rsid w:val="005A6404"/>
    <w:rsid w:val="005C39EB"/>
    <w:rsid w:val="005F178D"/>
    <w:rsid w:val="006015D9"/>
    <w:rsid w:val="0060182B"/>
    <w:rsid w:val="00611E6C"/>
    <w:rsid w:val="00627429"/>
    <w:rsid w:val="0063428C"/>
    <w:rsid w:val="00643D21"/>
    <w:rsid w:val="00653BB6"/>
    <w:rsid w:val="00655A70"/>
    <w:rsid w:val="00665183"/>
    <w:rsid w:val="0068035C"/>
    <w:rsid w:val="00682CF5"/>
    <w:rsid w:val="00683600"/>
    <w:rsid w:val="0069593E"/>
    <w:rsid w:val="006A330D"/>
    <w:rsid w:val="006A343B"/>
    <w:rsid w:val="006B22FC"/>
    <w:rsid w:val="006B50E2"/>
    <w:rsid w:val="006C5B24"/>
    <w:rsid w:val="006C6FC8"/>
    <w:rsid w:val="006C7F73"/>
    <w:rsid w:val="006F000D"/>
    <w:rsid w:val="006F4AD3"/>
    <w:rsid w:val="00700C74"/>
    <w:rsid w:val="00701DD5"/>
    <w:rsid w:val="007173B9"/>
    <w:rsid w:val="00717483"/>
    <w:rsid w:val="007205BE"/>
    <w:rsid w:val="00722FCD"/>
    <w:rsid w:val="00723F9D"/>
    <w:rsid w:val="00730ED4"/>
    <w:rsid w:val="007406E2"/>
    <w:rsid w:val="00744010"/>
    <w:rsid w:val="007442DC"/>
    <w:rsid w:val="00747DF4"/>
    <w:rsid w:val="007527BF"/>
    <w:rsid w:val="00753F3F"/>
    <w:rsid w:val="00772015"/>
    <w:rsid w:val="00774309"/>
    <w:rsid w:val="00774BAD"/>
    <w:rsid w:val="00784419"/>
    <w:rsid w:val="00787DC1"/>
    <w:rsid w:val="00791336"/>
    <w:rsid w:val="00792CDE"/>
    <w:rsid w:val="007B5423"/>
    <w:rsid w:val="007B7552"/>
    <w:rsid w:val="007C26F8"/>
    <w:rsid w:val="007C6224"/>
    <w:rsid w:val="007D6026"/>
    <w:rsid w:val="007D63F2"/>
    <w:rsid w:val="0080395D"/>
    <w:rsid w:val="00807DB0"/>
    <w:rsid w:val="00811B8D"/>
    <w:rsid w:val="00811C8B"/>
    <w:rsid w:val="00814119"/>
    <w:rsid w:val="00814AB4"/>
    <w:rsid w:val="008230F1"/>
    <w:rsid w:val="0082536B"/>
    <w:rsid w:val="00833C4E"/>
    <w:rsid w:val="00843CA7"/>
    <w:rsid w:val="00864169"/>
    <w:rsid w:val="008653D9"/>
    <w:rsid w:val="008717EC"/>
    <w:rsid w:val="00872BA5"/>
    <w:rsid w:val="008731CD"/>
    <w:rsid w:val="00876E97"/>
    <w:rsid w:val="008822EF"/>
    <w:rsid w:val="00890575"/>
    <w:rsid w:val="0089195C"/>
    <w:rsid w:val="00893B7B"/>
    <w:rsid w:val="008A2005"/>
    <w:rsid w:val="008A348E"/>
    <w:rsid w:val="008A4BBE"/>
    <w:rsid w:val="008A7E00"/>
    <w:rsid w:val="008B114E"/>
    <w:rsid w:val="008C0985"/>
    <w:rsid w:val="008C36F6"/>
    <w:rsid w:val="008C56BE"/>
    <w:rsid w:val="008C6A1B"/>
    <w:rsid w:val="008E7F0A"/>
    <w:rsid w:val="008F267D"/>
    <w:rsid w:val="0090021D"/>
    <w:rsid w:val="00900D62"/>
    <w:rsid w:val="00910D77"/>
    <w:rsid w:val="009319D5"/>
    <w:rsid w:val="00932626"/>
    <w:rsid w:val="00933655"/>
    <w:rsid w:val="0093637C"/>
    <w:rsid w:val="00937D7D"/>
    <w:rsid w:val="00942007"/>
    <w:rsid w:val="0094329C"/>
    <w:rsid w:val="0094534C"/>
    <w:rsid w:val="00955E58"/>
    <w:rsid w:val="0095681F"/>
    <w:rsid w:val="00963E81"/>
    <w:rsid w:val="00967DE1"/>
    <w:rsid w:val="00977F88"/>
    <w:rsid w:val="0098645F"/>
    <w:rsid w:val="009913F0"/>
    <w:rsid w:val="00991AED"/>
    <w:rsid w:val="009934FC"/>
    <w:rsid w:val="009937D6"/>
    <w:rsid w:val="009A6441"/>
    <w:rsid w:val="009A6AB6"/>
    <w:rsid w:val="009B3985"/>
    <w:rsid w:val="009B45BE"/>
    <w:rsid w:val="009B6F7A"/>
    <w:rsid w:val="009C1F74"/>
    <w:rsid w:val="009C6DEE"/>
    <w:rsid w:val="009C708C"/>
    <w:rsid w:val="009D6B48"/>
    <w:rsid w:val="009D7984"/>
    <w:rsid w:val="009E4D2A"/>
    <w:rsid w:val="009F535E"/>
    <w:rsid w:val="009F7D63"/>
    <w:rsid w:val="00A01D8A"/>
    <w:rsid w:val="00A05C4D"/>
    <w:rsid w:val="00A06F22"/>
    <w:rsid w:val="00A1103D"/>
    <w:rsid w:val="00A11A46"/>
    <w:rsid w:val="00A15557"/>
    <w:rsid w:val="00A21F00"/>
    <w:rsid w:val="00A24BF8"/>
    <w:rsid w:val="00A27ECE"/>
    <w:rsid w:val="00A4047C"/>
    <w:rsid w:val="00A40E62"/>
    <w:rsid w:val="00A43FF6"/>
    <w:rsid w:val="00A527E7"/>
    <w:rsid w:val="00A57B31"/>
    <w:rsid w:val="00A61F6C"/>
    <w:rsid w:val="00A63008"/>
    <w:rsid w:val="00A6485D"/>
    <w:rsid w:val="00A92AFD"/>
    <w:rsid w:val="00A94C0F"/>
    <w:rsid w:val="00AA6EB3"/>
    <w:rsid w:val="00AB2D72"/>
    <w:rsid w:val="00AB5391"/>
    <w:rsid w:val="00AC0197"/>
    <w:rsid w:val="00AC5687"/>
    <w:rsid w:val="00AD3036"/>
    <w:rsid w:val="00AD3C96"/>
    <w:rsid w:val="00AE4A56"/>
    <w:rsid w:val="00AE4B5A"/>
    <w:rsid w:val="00B035C0"/>
    <w:rsid w:val="00B04BE8"/>
    <w:rsid w:val="00B04FA7"/>
    <w:rsid w:val="00B10D62"/>
    <w:rsid w:val="00B17F60"/>
    <w:rsid w:val="00B21EED"/>
    <w:rsid w:val="00B22E12"/>
    <w:rsid w:val="00B23A3B"/>
    <w:rsid w:val="00B2635D"/>
    <w:rsid w:val="00B30887"/>
    <w:rsid w:val="00B341F8"/>
    <w:rsid w:val="00B41F38"/>
    <w:rsid w:val="00B45565"/>
    <w:rsid w:val="00B5194A"/>
    <w:rsid w:val="00B5707A"/>
    <w:rsid w:val="00B5793D"/>
    <w:rsid w:val="00B6231A"/>
    <w:rsid w:val="00B67782"/>
    <w:rsid w:val="00B84B79"/>
    <w:rsid w:val="00B95ECF"/>
    <w:rsid w:val="00BA4ADC"/>
    <w:rsid w:val="00BB1A96"/>
    <w:rsid w:val="00BB64C1"/>
    <w:rsid w:val="00BB73C4"/>
    <w:rsid w:val="00BC12BC"/>
    <w:rsid w:val="00BC543D"/>
    <w:rsid w:val="00BC65A3"/>
    <w:rsid w:val="00BD21F7"/>
    <w:rsid w:val="00BD6BA5"/>
    <w:rsid w:val="00BD6FC9"/>
    <w:rsid w:val="00BF1E9B"/>
    <w:rsid w:val="00BF525E"/>
    <w:rsid w:val="00BF6C60"/>
    <w:rsid w:val="00C01D35"/>
    <w:rsid w:val="00C0682B"/>
    <w:rsid w:val="00C077A8"/>
    <w:rsid w:val="00C12586"/>
    <w:rsid w:val="00C12697"/>
    <w:rsid w:val="00C13916"/>
    <w:rsid w:val="00C1467F"/>
    <w:rsid w:val="00C1508F"/>
    <w:rsid w:val="00C207E4"/>
    <w:rsid w:val="00C22710"/>
    <w:rsid w:val="00C24AA2"/>
    <w:rsid w:val="00C37C6E"/>
    <w:rsid w:val="00C42FBA"/>
    <w:rsid w:val="00C43DD2"/>
    <w:rsid w:val="00C652B8"/>
    <w:rsid w:val="00C65476"/>
    <w:rsid w:val="00C7207C"/>
    <w:rsid w:val="00C72D05"/>
    <w:rsid w:val="00C731D8"/>
    <w:rsid w:val="00C850BE"/>
    <w:rsid w:val="00C90266"/>
    <w:rsid w:val="00CB2459"/>
    <w:rsid w:val="00CB3536"/>
    <w:rsid w:val="00CB4265"/>
    <w:rsid w:val="00CB4992"/>
    <w:rsid w:val="00CC2DBA"/>
    <w:rsid w:val="00CD4742"/>
    <w:rsid w:val="00CD780B"/>
    <w:rsid w:val="00CE2EE3"/>
    <w:rsid w:val="00CE3202"/>
    <w:rsid w:val="00CF060E"/>
    <w:rsid w:val="00CF463C"/>
    <w:rsid w:val="00D014C4"/>
    <w:rsid w:val="00D10E31"/>
    <w:rsid w:val="00D14635"/>
    <w:rsid w:val="00D23BC3"/>
    <w:rsid w:val="00D32B36"/>
    <w:rsid w:val="00D33026"/>
    <w:rsid w:val="00D35CC6"/>
    <w:rsid w:val="00D35E50"/>
    <w:rsid w:val="00D41307"/>
    <w:rsid w:val="00D55822"/>
    <w:rsid w:val="00D560F0"/>
    <w:rsid w:val="00D615CA"/>
    <w:rsid w:val="00D6713E"/>
    <w:rsid w:val="00D671AC"/>
    <w:rsid w:val="00D7139C"/>
    <w:rsid w:val="00D853B4"/>
    <w:rsid w:val="00D96B26"/>
    <w:rsid w:val="00D96DE7"/>
    <w:rsid w:val="00DA06AE"/>
    <w:rsid w:val="00DA0DE9"/>
    <w:rsid w:val="00DB09D1"/>
    <w:rsid w:val="00DB1C0A"/>
    <w:rsid w:val="00DC2FD7"/>
    <w:rsid w:val="00DD14D9"/>
    <w:rsid w:val="00DD1CE5"/>
    <w:rsid w:val="00DF4FE2"/>
    <w:rsid w:val="00E0249D"/>
    <w:rsid w:val="00E030C9"/>
    <w:rsid w:val="00E10C6F"/>
    <w:rsid w:val="00E15FF8"/>
    <w:rsid w:val="00E171F7"/>
    <w:rsid w:val="00E23820"/>
    <w:rsid w:val="00E25CB9"/>
    <w:rsid w:val="00E26DBA"/>
    <w:rsid w:val="00E34CF2"/>
    <w:rsid w:val="00E34E3C"/>
    <w:rsid w:val="00E37F50"/>
    <w:rsid w:val="00E4108C"/>
    <w:rsid w:val="00E41227"/>
    <w:rsid w:val="00E42665"/>
    <w:rsid w:val="00E42F32"/>
    <w:rsid w:val="00E6517A"/>
    <w:rsid w:val="00E667D1"/>
    <w:rsid w:val="00E66F77"/>
    <w:rsid w:val="00E7133D"/>
    <w:rsid w:val="00E8358F"/>
    <w:rsid w:val="00E842F5"/>
    <w:rsid w:val="00EB35A4"/>
    <w:rsid w:val="00EC1014"/>
    <w:rsid w:val="00EE17BE"/>
    <w:rsid w:val="00EE32C5"/>
    <w:rsid w:val="00EE5E1C"/>
    <w:rsid w:val="00EF040B"/>
    <w:rsid w:val="00F032A0"/>
    <w:rsid w:val="00F06DE3"/>
    <w:rsid w:val="00F0786C"/>
    <w:rsid w:val="00F1680D"/>
    <w:rsid w:val="00F17807"/>
    <w:rsid w:val="00F17ECE"/>
    <w:rsid w:val="00F2202D"/>
    <w:rsid w:val="00F31FF2"/>
    <w:rsid w:val="00F37F56"/>
    <w:rsid w:val="00F46203"/>
    <w:rsid w:val="00F46D2A"/>
    <w:rsid w:val="00F56530"/>
    <w:rsid w:val="00F65B7A"/>
    <w:rsid w:val="00F701AF"/>
    <w:rsid w:val="00F72D91"/>
    <w:rsid w:val="00F7396B"/>
    <w:rsid w:val="00F75B38"/>
    <w:rsid w:val="00F76E40"/>
    <w:rsid w:val="00F815A1"/>
    <w:rsid w:val="00F85C36"/>
    <w:rsid w:val="00F9119F"/>
    <w:rsid w:val="00FA0457"/>
    <w:rsid w:val="00FA2EAD"/>
    <w:rsid w:val="00FA52BA"/>
    <w:rsid w:val="00FA74B5"/>
    <w:rsid w:val="00FA7C05"/>
    <w:rsid w:val="00FA7FE1"/>
    <w:rsid w:val="00FB01E9"/>
    <w:rsid w:val="00FB0F30"/>
    <w:rsid w:val="00FB42A5"/>
    <w:rsid w:val="00FC7CF6"/>
    <w:rsid w:val="00FE0AF8"/>
    <w:rsid w:val="00FE445E"/>
    <w:rsid w:val="00FE6290"/>
    <w:rsid w:val="010F22A7"/>
    <w:rsid w:val="011B166E"/>
    <w:rsid w:val="037B3BA0"/>
    <w:rsid w:val="03DA21B1"/>
    <w:rsid w:val="03FB11F2"/>
    <w:rsid w:val="03FD6D49"/>
    <w:rsid w:val="059C7259"/>
    <w:rsid w:val="05ED6D79"/>
    <w:rsid w:val="061F7618"/>
    <w:rsid w:val="066D6FC4"/>
    <w:rsid w:val="06733FBA"/>
    <w:rsid w:val="06B653FA"/>
    <w:rsid w:val="076B6C4E"/>
    <w:rsid w:val="07AC3AC9"/>
    <w:rsid w:val="07EF4708"/>
    <w:rsid w:val="08882222"/>
    <w:rsid w:val="0AE96D98"/>
    <w:rsid w:val="0BE12B86"/>
    <w:rsid w:val="0BF77732"/>
    <w:rsid w:val="0BFD6957"/>
    <w:rsid w:val="0C8177C3"/>
    <w:rsid w:val="0CD05A7D"/>
    <w:rsid w:val="0D2115AA"/>
    <w:rsid w:val="0D5A4DF7"/>
    <w:rsid w:val="0D94256E"/>
    <w:rsid w:val="0E2A1C4C"/>
    <w:rsid w:val="0EEB6487"/>
    <w:rsid w:val="10DB1A50"/>
    <w:rsid w:val="12201B76"/>
    <w:rsid w:val="125B7FFB"/>
    <w:rsid w:val="131C76F4"/>
    <w:rsid w:val="13273DC9"/>
    <w:rsid w:val="1331710B"/>
    <w:rsid w:val="139B586B"/>
    <w:rsid w:val="1470190C"/>
    <w:rsid w:val="147E27C4"/>
    <w:rsid w:val="156E3CD0"/>
    <w:rsid w:val="15AB5FF1"/>
    <w:rsid w:val="16EF22CE"/>
    <w:rsid w:val="170D6D9A"/>
    <w:rsid w:val="17372BA0"/>
    <w:rsid w:val="17C8687A"/>
    <w:rsid w:val="17EA7901"/>
    <w:rsid w:val="1889564E"/>
    <w:rsid w:val="18B02EF0"/>
    <w:rsid w:val="18B533E4"/>
    <w:rsid w:val="18D4687F"/>
    <w:rsid w:val="18F56002"/>
    <w:rsid w:val="19004393"/>
    <w:rsid w:val="19E415C3"/>
    <w:rsid w:val="1A592074"/>
    <w:rsid w:val="1BBA200E"/>
    <w:rsid w:val="1BBA25CC"/>
    <w:rsid w:val="1C0F4C09"/>
    <w:rsid w:val="1CC813C9"/>
    <w:rsid w:val="1CFF23A2"/>
    <w:rsid w:val="1D747847"/>
    <w:rsid w:val="1D77485D"/>
    <w:rsid w:val="1DE31799"/>
    <w:rsid w:val="1E3F04EF"/>
    <w:rsid w:val="1E8E2DB0"/>
    <w:rsid w:val="1EB44645"/>
    <w:rsid w:val="1EB525EF"/>
    <w:rsid w:val="1EB6109D"/>
    <w:rsid w:val="1EF64C1B"/>
    <w:rsid w:val="20850FEC"/>
    <w:rsid w:val="21584AE0"/>
    <w:rsid w:val="215F06A9"/>
    <w:rsid w:val="218658C6"/>
    <w:rsid w:val="219908F7"/>
    <w:rsid w:val="21B140CB"/>
    <w:rsid w:val="22215694"/>
    <w:rsid w:val="227633F9"/>
    <w:rsid w:val="22C44C41"/>
    <w:rsid w:val="23704D9D"/>
    <w:rsid w:val="23AA48AE"/>
    <w:rsid w:val="247054DD"/>
    <w:rsid w:val="24776664"/>
    <w:rsid w:val="24B20033"/>
    <w:rsid w:val="253D2474"/>
    <w:rsid w:val="25457FB6"/>
    <w:rsid w:val="25870A1F"/>
    <w:rsid w:val="25AE615B"/>
    <w:rsid w:val="25B44F23"/>
    <w:rsid w:val="25BE71C2"/>
    <w:rsid w:val="25EF7AF6"/>
    <w:rsid w:val="262F2132"/>
    <w:rsid w:val="268B3983"/>
    <w:rsid w:val="26B65802"/>
    <w:rsid w:val="291C39BD"/>
    <w:rsid w:val="294C685D"/>
    <w:rsid w:val="29500600"/>
    <w:rsid w:val="29E64D88"/>
    <w:rsid w:val="29F50F47"/>
    <w:rsid w:val="2A69134F"/>
    <w:rsid w:val="2AC667BC"/>
    <w:rsid w:val="2B510956"/>
    <w:rsid w:val="2BD64CE6"/>
    <w:rsid w:val="2D135232"/>
    <w:rsid w:val="2E6E286E"/>
    <w:rsid w:val="2E704C40"/>
    <w:rsid w:val="30D5114E"/>
    <w:rsid w:val="3103135B"/>
    <w:rsid w:val="31071021"/>
    <w:rsid w:val="315A7540"/>
    <w:rsid w:val="32614B36"/>
    <w:rsid w:val="32C966FB"/>
    <w:rsid w:val="337F7205"/>
    <w:rsid w:val="33D1712C"/>
    <w:rsid w:val="33D33712"/>
    <w:rsid w:val="341C7C6C"/>
    <w:rsid w:val="34BC64C9"/>
    <w:rsid w:val="36227F2C"/>
    <w:rsid w:val="36371AF1"/>
    <w:rsid w:val="366B11D8"/>
    <w:rsid w:val="36FD63F6"/>
    <w:rsid w:val="375F35F1"/>
    <w:rsid w:val="37703399"/>
    <w:rsid w:val="37BF1864"/>
    <w:rsid w:val="393D05CD"/>
    <w:rsid w:val="397A4007"/>
    <w:rsid w:val="399E7F84"/>
    <w:rsid w:val="39B47F5C"/>
    <w:rsid w:val="3A5076FE"/>
    <w:rsid w:val="3B1139DC"/>
    <w:rsid w:val="3B346891"/>
    <w:rsid w:val="3B5124BB"/>
    <w:rsid w:val="3BCC6D26"/>
    <w:rsid w:val="3BCD6DCC"/>
    <w:rsid w:val="3BFF1AFF"/>
    <w:rsid w:val="3C1E22FA"/>
    <w:rsid w:val="3CAA50D7"/>
    <w:rsid w:val="3D377213"/>
    <w:rsid w:val="3D685D41"/>
    <w:rsid w:val="3DA324E4"/>
    <w:rsid w:val="3EBA7D64"/>
    <w:rsid w:val="3F947F7A"/>
    <w:rsid w:val="3F9A5F9A"/>
    <w:rsid w:val="3FBA72C8"/>
    <w:rsid w:val="401975ED"/>
    <w:rsid w:val="40A926C0"/>
    <w:rsid w:val="40AD2D42"/>
    <w:rsid w:val="40D469B5"/>
    <w:rsid w:val="40FE34C9"/>
    <w:rsid w:val="41230A69"/>
    <w:rsid w:val="413F6F1A"/>
    <w:rsid w:val="42613D77"/>
    <w:rsid w:val="428A78CF"/>
    <w:rsid w:val="429A668F"/>
    <w:rsid w:val="429C5AC6"/>
    <w:rsid w:val="42B4674D"/>
    <w:rsid w:val="4300495F"/>
    <w:rsid w:val="437370B7"/>
    <w:rsid w:val="43897891"/>
    <w:rsid w:val="44092DB1"/>
    <w:rsid w:val="4426495C"/>
    <w:rsid w:val="44FE6A97"/>
    <w:rsid w:val="450B35A3"/>
    <w:rsid w:val="45280009"/>
    <w:rsid w:val="46324EF7"/>
    <w:rsid w:val="46E416BF"/>
    <w:rsid w:val="46F91E7C"/>
    <w:rsid w:val="473A2BB0"/>
    <w:rsid w:val="47D917F4"/>
    <w:rsid w:val="47FB29A7"/>
    <w:rsid w:val="47FC1AAA"/>
    <w:rsid w:val="480E0755"/>
    <w:rsid w:val="48B36B54"/>
    <w:rsid w:val="48F873C3"/>
    <w:rsid w:val="494E1624"/>
    <w:rsid w:val="499D0251"/>
    <w:rsid w:val="4A0146B9"/>
    <w:rsid w:val="4A4C39AD"/>
    <w:rsid w:val="4A4E575C"/>
    <w:rsid w:val="4A6922E2"/>
    <w:rsid w:val="4AE22767"/>
    <w:rsid w:val="4AE93332"/>
    <w:rsid w:val="4BD66AD1"/>
    <w:rsid w:val="4C234224"/>
    <w:rsid w:val="4C5E0D5A"/>
    <w:rsid w:val="4CBF4276"/>
    <w:rsid w:val="4CCC5A9B"/>
    <w:rsid w:val="4CD541BE"/>
    <w:rsid w:val="4D1471E9"/>
    <w:rsid w:val="4D682DFE"/>
    <w:rsid w:val="4E1622A9"/>
    <w:rsid w:val="4E2E279D"/>
    <w:rsid w:val="4FC60261"/>
    <w:rsid w:val="50525C15"/>
    <w:rsid w:val="50E23E14"/>
    <w:rsid w:val="50F2034F"/>
    <w:rsid w:val="51487D8A"/>
    <w:rsid w:val="51B122AB"/>
    <w:rsid w:val="524E4ED5"/>
    <w:rsid w:val="52582329"/>
    <w:rsid w:val="52E27B36"/>
    <w:rsid w:val="53013A3B"/>
    <w:rsid w:val="53315838"/>
    <w:rsid w:val="534D60B9"/>
    <w:rsid w:val="535A067F"/>
    <w:rsid w:val="535D66D6"/>
    <w:rsid w:val="539C13A0"/>
    <w:rsid w:val="54461AD3"/>
    <w:rsid w:val="54CD6F5F"/>
    <w:rsid w:val="5568105C"/>
    <w:rsid w:val="557C08CC"/>
    <w:rsid w:val="558A011F"/>
    <w:rsid w:val="55E67A76"/>
    <w:rsid w:val="5633291A"/>
    <w:rsid w:val="57396B1E"/>
    <w:rsid w:val="576A0140"/>
    <w:rsid w:val="58B0763D"/>
    <w:rsid w:val="58FC1A91"/>
    <w:rsid w:val="591B58C0"/>
    <w:rsid w:val="59234ECA"/>
    <w:rsid w:val="595D3DAB"/>
    <w:rsid w:val="59840B1E"/>
    <w:rsid w:val="59E70EA6"/>
    <w:rsid w:val="5A6D3BE8"/>
    <w:rsid w:val="5A822399"/>
    <w:rsid w:val="5BC156AF"/>
    <w:rsid w:val="5C023244"/>
    <w:rsid w:val="5C49575C"/>
    <w:rsid w:val="5C9108EC"/>
    <w:rsid w:val="5D215608"/>
    <w:rsid w:val="5D316B4B"/>
    <w:rsid w:val="5DE93F98"/>
    <w:rsid w:val="5E213AF5"/>
    <w:rsid w:val="5E7E6DC9"/>
    <w:rsid w:val="5F0D61FF"/>
    <w:rsid w:val="5F857143"/>
    <w:rsid w:val="5FD95CE6"/>
    <w:rsid w:val="60510E15"/>
    <w:rsid w:val="60E77899"/>
    <w:rsid w:val="60EB3387"/>
    <w:rsid w:val="6161292D"/>
    <w:rsid w:val="61E34130"/>
    <w:rsid w:val="62833398"/>
    <w:rsid w:val="62F151F9"/>
    <w:rsid w:val="6339483B"/>
    <w:rsid w:val="63B31F3B"/>
    <w:rsid w:val="63E776F7"/>
    <w:rsid w:val="651D7774"/>
    <w:rsid w:val="6537227D"/>
    <w:rsid w:val="653A527A"/>
    <w:rsid w:val="65F97C3C"/>
    <w:rsid w:val="66016919"/>
    <w:rsid w:val="666274FF"/>
    <w:rsid w:val="668C6086"/>
    <w:rsid w:val="66BD4D07"/>
    <w:rsid w:val="66DD3CFE"/>
    <w:rsid w:val="673E309F"/>
    <w:rsid w:val="68057111"/>
    <w:rsid w:val="6876296E"/>
    <w:rsid w:val="689D1AB8"/>
    <w:rsid w:val="68A80483"/>
    <w:rsid w:val="68FB6B4C"/>
    <w:rsid w:val="690901CB"/>
    <w:rsid w:val="692F6273"/>
    <w:rsid w:val="69A433E0"/>
    <w:rsid w:val="69E057C4"/>
    <w:rsid w:val="69EE5696"/>
    <w:rsid w:val="6A332318"/>
    <w:rsid w:val="6BB9504A"/>
    <w:rsid w:val="6BD26AD3"/>
    <w:rsid w:val="6C781D89"/>
    <w:rsid w:val="6C8769E4"/>
    <w:rsid w:val="6D3058B8"/>
    <w:rsid w:val="6D561CFE"/>
    <w:rsid w:val="6D965E42"/>
    <w:rsid w:val="6DBC1555"/>
    <w:rsid w:val="6E2C2DF6"/>
    <w:rsid w:val="6EC66036"/>
    <w:rsid w:val="6ED84BE7"/>
    <w:rsid w:val="6F731D67"/>
    <w:rsid w:val="6F794D26"/>
    <w:rsid w:val="70605FA5"/>
    <w:rsid w:val="709657D8"/>
    <w:rsid w:val="70A82C64"/>
    <w:rsid w:val="70D8212E"/>
    <w:rsid w:val="70DB2B1F"/>
    <w:rsid w:val="71A2140C"/>
    <w:rsid w:val="71E87E6C"/>
    <w:rsid w:val="72B95343"/>
    <w:rsid w:val="73590898"/>
    <w:rsid w:val="73744098"/>
    <w:rsid w:val="739A7DBC"/>
    <w:rsid w:val="73C37B3A"/>
    <w:rsid w:val="746B1243"/>
    <w:rsid w:val="74B309BA"/>
    <w:rsid w:val="74BF38A8"/>
    <w:rsid w:val="75547C79"/>
    <w:rsid w:val="75787FC9"/>
    <w:rsid w:val="75CD5A28"/>
    <w:rsid w:val="763E0C8B"/>
    <w:rsid w:val="77B45926"/>
    <w:rsid w:val="77C94015"/>
    <w:rsid w:val="782B49C2"/>
    <w:rsid w:val="78355438"/>
    <w:rsid w:val="797F60D5"/>
    <w:rsid w:val="7B5432AC"/>
    <w:rsid w:val="7B6E1FEE"/>
    <w:rsid w:val="7BD24E35"/>
    <w:rsid w:val="7BE23A26"/>
    <w:rsid w:val="7C132F62"/>
    <w:rsid w:val="7C190EA3"/>
    <w:rsid w:val="7C2D09C7"/>
    <w:rsid w:val="7CA52ABC"/>
    <w:rsid w:val="7D3846C5"/>
    <w:rsid w:val="7D6B16D3"/>
    <w:rsid w:val="7E843559"/>
    <w:rsid w:val="7EC37A30"/>
    <w:rsid w:val="7F2E6B60"/>
    <w:rsid w:val="7F35465B"/>
    <w:rsid w:val="7F3C65F4"/>
    <w:rsid w:val="7FA9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99" w:semiHidden="0"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5"/>
    <w:qFormat/>
    <w:uiPriority w:val="0"/>
    <w:pPr>
      <w:keepNext/>
      <w:jc w:val="center"/>
      <w:outlineLvl w:val="0"/>
    </w:pPr>
    <w:rPr>
      <w:rFonts w:ascii="楷体_GB2312" w:hAnsi="Tahoma" w:eastAsia="楷体_GB2312"/>
      <w:b/>
      <w:bCs/>
    </w:rPr>
  </w:style>
  <w:style w:type="paragraph" w:styleId="3">
    <w:name w:val="heading 2"/>
    <w:basedOn w:val="1"/>
    <w:next w:val="1"/>
    <w:link w:val="230"/>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70"/>
    <w:qFormat/>
    <w:uiPriority w:val="0"/>
    <w:pPr>
      <w:keepNext/>
      <w:keepLines/>
      <w:spacing w:before="260" w:after="260" w:line="415" w:lineRule="auto"/>
      <w:outlineLvl w:val="2"/>
    </w:pPr>
    <w:rPr>
      <w:b/>
      <w:bCs/>
      <w:sz w:val="32"/>
      <w:szCs w:val="32"/>
    </w:rPr>
  </w:style>
  <w:style w:type="paragraph" w:styleId="5">
    <w:name w:val="heading 4"/>
    <w:basedOn w:val="1"/>
    <w:next w:val="1"/>
    <w:link w:val="91"/>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149"/>
    <w:qFormat/>
    <w:uiPriority w:val="0"/>
    <w:pPr>
      <w:keepNext/>
      <w:keepLines/>
      <w:spacing w:before="280" w:after="290" w:line="372" w:lineRule="auto"/>
      <w:outlineLvl w:val="4"/>
    </w:pPr>
    <w:rPr>
      <w:rFonts w:ascii="仿宋_GB2312" w:hAnsi="Tahoma"/>
      <w:b/>
      <w:bCs/>
      <w:sz w:val="28"/>
      <w:szCs w:val="28"/>
    </w:rPr>
  </w:style>
  <w:style w:type="paragraph" w:styleId="7">
    <w:name w:val="heading 6"/>
    <w:basedOn w:val="1"/>
    <w:next w:val="1"/>
    <w:link w:val="101"/>
    <w:qFormat/>
    <w:uiPriority w:val="0"/>
    <w:pPr>
      <w:keepNext/>
      <w:keepLines/>
      <w:spacing w:before="240" w:after="64" w:line="319" w:lineRule="auto"/>
      <w:outlineLvl w:val="5"/>
    </w:pPr>
    <w:rPr>
      <w:rFonts w:ascii="Arial" w:hAnsi="Arial" w:eastAsia="黑体"/>
      <w:b/>
      <w:bCs/>
      <w:sz w:val="24"/>
    </w:rPr>
  </w:style>
  <w:style w:type="paragraph" w:styleId="8">
    <w:name w:val="heading 7"/>
    <w:basedOn w:val="1"/>
    <w:next w:val="1"/>
    <w:link w:val="229"/>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9">
    <w:name w:val="heading 8"/>
    <w:basedOn w:val="1"/>
    <w:next w:val="1"/>
    <w:link w:val="199"/>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0">
    <w:name w:val="heading 9"/>
    <w:basedOn w:val="1"/>
    <w:next w:val="1"/>
    <w:link w:val="79"/>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0">
    <w:name w:val="Default Paragraph Font"/>
    <w:qFormat/>
    <w:uiPriority w:val="0"/>
    <w:rPr>
      <w:szCs w:val="20"/>
    </w:rPr>
  </w:style>
  <w:style w:type="table" w:default="1" w:styleId="66">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25"/>
    <w:qFormat/>
    <w:uiPriority w:val="0"/>
    <w:rPr>
      <w:b/>
      <w:bCs/>
    </w:rPr>
  </w:style>
  <w:style w:type="paragraph" w:styleId="12">
    <w:name w:val="annotation text"/>
    <w:basedOn w:val="1"/>
    <w:link w:val="213"/>
    <w:qFormat/>
    <w:uiPriority w:val="0"/>
    <w:pPr>
      <w:jc w:val="left"/>
    </w:pPr>
  </w:style>
  <w:style w:type="paragraph" w:styleId="13">
    <w:name w:val="toc 7"/>
    <w:basedOn w:val="1"/>
    <w:next w:val="1"/>
    <w:qFormat/>
    <w:uiPriority w:val="39"/>
    <w:pPr>
      <w:autoSpaceDE w:val="0"/>
      <w:autoSpaceDN w:val="0"/>
      <w:adjustRightInd w:val="0"/>
      <w:ind w:left="2520" w:leftChars="1200"/>
      <w:jc w:val="left"/>
    </w:pPr>
    <w:rPr>
      <w:kern w:val="0"/>
      <w:sz w:val="20"/>
      <w:szCs w:val="20"/>
    </w:rPr>
  </w:style>
  <w:style w:type="paragraph" w:styleId="14">
    <w:name w:val="Body Text First Indent"/>
    <w:basedOn w:val="15"/>
    <w:link w:val="107"/>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15">
    <w:name w:val="Body Text"/>
    <w:basedOn w:val="1"/>
    <w:link w:val="83"/>
    <w:qFormat/>
    <w:uiPriority w:val="0"/>
    <w:pPr>
      <w:spacing w:after="120"/>
    </w:pPr>
    <w:rPr>
      <w:rFonts w:ascii="Tahoma" w:hAnsi="Tahoma"/>
    </w:rPr>
  </w:style>
  <w:style w:type="paragraph" w:styleId="16">
    <w:name w:val="macro"/>
    <w:link w:val="137"/>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7">
    <w:name w:val="List Number"/>
    <w:basedOn w:val="1"/>
    <w:qFormat/>
    <w:uiPriority w:val="0"/>
    <w:pPr>
      <w:tabs>
        <w:tab w:val="left" w:pos="360"/>
      </w:tabs>
      <w:ind w:left="360" w:hanging="360" w:hangingChars="200"/>
    </w:pPr>
  </w:style>
  <w:style w:type="paragraph" w:styleId="18">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9">
    <w:name w:val="List Bullet"/>
    <w:basedOn w:val="1"/>
    <w:qFormat/>
    <w:uiPriority w:val="0"/>
    <w:pPr>
      <w:numPr>
        <w:ilvl w:val="0"/>
        <w:numId w:val="1"/>
      </w:numPr>
      <w:tabs>
        <w:tab w:val="left" w:pos="360"/>
        <w:tab w:val="clear" w:pos="1080"/>
      </w:tabs>
    </w:pPr>
    <w:rPr>
      <w:rFonts w:ascii="Calibri" w:hAnsi="Calibri"/>
      <w:szCs w:val="22"/>
    </w:rPr>
  </w:style>
  <w:style w:type="paragraph" w:styleId="20">
    <w:name w:val="Document Map"/>
    <w:basedOn w:val="1"/>
    <w:link w:val="236"/>
    <w:qFormat/>
    <w:uiPriority w:val="0"/>
    <w:pPr>
      <w:shd w:val="clear" w:color="auto" w:fill="000080"/>
    </w:pPr>
  </w:style>
  <w:style w:type="paragraph" w:styleId="21">
    <w:name w:val="Salutation"/>
    <w:basedOn w:val="1"/>
    <w:next w:val="1"/>
    <w:link w:val="222"/>
    <w:qFormat/>
    <w:uiPriority w:val="0"/>
    <w:pPr>
      <w:tabs>
        <w:tab w:val="left" w:pos="840"/>
      </w:tabs>
      <w:autoSpaceDE w:val="0"/>
      <w:autoSpaceDN w:val="0"/>
      <w:adjustRightInd w:val="0"/>
      <w:jc w:val="left"/>
    </w:pPr>
    <w:rPr>
      <w:kern w:val="0"/>
      <w:sz w:val="24"/>
      <w:szCs w:val="20"/>
    </w:rPr>
  </w:style>
  <w:style w:type="paragraph" w:styleId="22">
    <w:name w:val="Body Text 3"/>
    <w:basedOn w:val="1"/>
    <w:link w:val="227"/>
    <w:qFormat/>
    <w:uiPriority w:val="0"/>
    <w:pPr>
      <w:autoSpaceDE w:val="0"/>
      <w:autoSpaceDN w:val="0"/>
      <w:adjustRightInd w:val="0"/>
      <w:jc w:val="center"/>
    </w:pPr>
    <w:rPr>
      <w:kern w:val="0"/>
      <w:sz w:val="20"/>
      <w:szCs w:val="20"/>
    </w:rPr>
  </w:style>
  <w:style w:type="paragraph" w:styleId="23">
    <w:name w:val="Body Text Indent"/>
    <w:basedOn w:val="1"/>
    <w:link w:val="110"/>
    <w:qFormat/>
    <w:uiPriority w:val="0"/>
    <w:pPr>
      <w:adjustRightInd w:val="0"/>
      <w:spacing w:line="360" w:lineRule="auto"/>
      <w:ind w:firstLine="490"/>
      <w:jc w:val="left"/>
    </w:pPr>
    <w:rPr>
      <w:rFonts w:ascii="宋体" w:hAnsi="宋体"/>
      <w:sz w:val="24"/>
      <w:szCs w:val="20"/>
    </w:rPr>
  </w:style>
  <w:style w:type="paragraph" w:styleId="24">
    <w:name w:val="List Number 3"/>
    <w:basedOn w:val="1"/>
    <w:qFormat/>
    <w:uiPriority w:val="0"/>
    <w:pPr>
      <w:tabs>
        <w:tab w:val="left" w:pos="1200"/>
      </w:tabs>
      <w:ind w:left="1200" w:leftChars="400" w:hanging="360" w:hangingChars="200"/>
    </w:pPr>
  </w:style>
  <w:style w:type="paragraph" w:styleId="25">
    <w:name w:val="List Bullet 2"/>
    <w:basedOn w:val="1"/>
    <w:qFormat/>
    <w:uiPriority w:val="0"/>
    <w:pPr>
      <w:tabs>
        <w:tab w:val="left" w:pos="780"/>
      </w:tabs>
      <w:spacing w:line="360" w:lineRule="auto"/>
      <w:ind w:left="780" w:leftChars="200" w:hanging="360" w:hangingChars="200"/>
    </w:pPr>
  </w:style>
  <w:style w:type="paragraph" w:styleId="26">
    <w:name w:val="toc 5"/>
    <w:basedOn w:val="1"/>
    <w:next w:val="1"/>
    <w:qFormat/>
    <w:uiPriority w:val="39"/>
    <w:pPr>
      <w:autoSpaceDE w:val="0"/>
      <w:autoSpaceDN w:val="0"/>
      <w:adjustRightInd w:val="0"/>
      <w:ind w:left="1680" w:leftChars="800"/>
      <w:jc w:val="left"/>
    </w:pPr>
    <w:rPr>
      <w:kern w:val="0"/>
      <w:sz w:val="20"/>
      <w:szCs w:val="20"/>
    </w:rPr>
  </w:style>
  <w:style w:type="paragraph" w:styleId="27">
    <w:name w:val="toc 3"/>
    <w:basedOn w:val="1"/>
    <w:next w:val="1"/>
    <w:qFormat/>
    <w:uiPriority w:val="39"/>
    <w:pPr>
      <w:ind w:left="840" w:leftChars="400"/>
    </w:pPr>
  </w:style>
  <w:style w:type="paragraph" w:styleId="28">
    <w:name w:val="Plain Text"/>
    <w:basedOn w:val="1"/>
    <w:link w:val="156"/>
    <w:qFormat/>
    <w:uiPriority w:val="0"/>
    <w:rPr>
      <w:rFonts w:ascii="宋体" w:hAnsi="Courier New"/>
      <w:szCs w:val="20"/>
    </w:rPr>
  </w:style>
  <w:style w:type="paragraph" w:styleId="29">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0">
    <w:name w:val="toc 8"/>
    <w:basedOn w:val="1"/>
    <w:next w:val="1"/>
    <w:qFormat/>
    <w:uiPriority w:val="39"/>
    <w:pPr>
      <w:autoSpaceDE w:val="0"/>
      <w:autoSpaceDN w:val="0"/>
      <w:adjustRightInd w:val="0"/>
      <w:ind w:left="2940" w:leftChars="1400"/>
      <w:jc w:val="left"/>
    </w:pPr>
    <w:rPr>
      <w:kern w:val="0"/>
      <w:sz w:val="20"/>
      <w:szCs w:val="20"/>
    </w:rPr>
  </w:style>
  <w:style w:type="paragraph" w:styleId="31">
    <w:name w:val="Date"/>
    <w:basedOn w:val="1"/>
    <w:next w:val="1"/>
    <w:link w:val="179"/>
    <w:qFormat/>
    <w:uiPriority w:val="0"/>
    <w:pPr>
      <w:spacing w:line="440" w:lineRule="exact"/>
    </w:pPr>
    <w:rPr>
      <w:spacing w:val="12"/>
      <w:sz w:val="24"/>
      <w:szCs w:val="20"/>
    </w:rPr>
  </w:style>
  <w:style w:type="paragraph" w:styleId="32">
    <w:name w:val="Body Text Indent 2"/>
    <w:basedOn w:val="1"/>
    <w:link w:val="84"/>
    <w:qFormat/>
    <w:uiPriority w:val="0"/>
    <w:pPr>
      <w:spacing w:after="120" w:line="480" w:lineRule="auto"/>
      <w:ind w:left="420" w:leftChars="200"/>
    </w:pPr>
  </w:style>
  <w:style w:type="paragraph" w:styleId="33">
    <w:name w:val="Balloon Text"/>
    <w:basedOn w:val="1"/>
    <w:link w:val="180"/>
    <w:qFormat/>
    <w:uiPriority w:val="0"/>
    <w:rPr>
      <w:sz w:val="18"/>
      <w:szCs w:val="18"/>
    </w:rPr>
  </w:style>
  <w:style w:type="paragraph" w:styleId="34">
    <w:name w:val="footer"/>
    <w:basedOn w:val="1"/>
    <w:link w:val="119"/>
    <w:qFormat/>
    <w:uiPriority w:val="0"/>
    <w:pPr>
      <w:tabs>
        <w:tab w:val="center" w:pos="4153"/>
        <w:tab w:val="right" w:pos="8306"/>
      </w:tabs>
      <w:snapToGrid w:val="0"/>
      <w:jc w:val="left"/>
    </w:pPr>
    <w:rPr>
      <w:sz w:val="18"/>
      <w:szCs w:val="18"/>
    </w:rPr>
  </w:style>
  <w:style w:type="paragraph" w:styleId="35">
    <w:name w:val="header"/>
    <w:basedOn w:val="1"/>
    <w:link w:val="200"/>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link w:val="92"/>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37">
    <w:name w:val="toc 1"/>
    <w:basedOn w:val="1"/>
    <w:next w:val="1"/>
    <w:qFormat/>
    <w:uiPriority w:val="39"/>
    <w:pPr>
      <w:spacing w:line="360" w:lineRule="exact"/>
      <w:ind w:left="718" w:hanging="718" w:hangingChars="342"/>
    </w:pPr>
    <w:rPr>
      <w:rFonts w:ascii="Arial" w:hAnsi="Arial" w:eastAsia="楷体_GB2312" w:cs="Arial"/>
    </w:rPr>
  </w:style>
  <w:style w:type="paragraph" w:styleId="38">
    <w:name w:val="toc 4"/>
    <w:basedOn w:val="1"/>
    <w:next w:val="1"/>
    <w:qFormat/>
    <w:uiPriority w:val="39"/>
    <w:pPr>
      <w:autoSpaceDE w:val="0"/>
      <w:autoSpaceDN w:val="0"/>
      <w:adjustRightInd w:val="0"/>
      <w:ind w:left="1260" w:leftChars="600"/>
      <w:jc w:val="left"/>
    </w:pPr>
    <w:rPr>
      <w:kern w:val="0"/>
      <w:sz w:val="20"/>
      <w:szCs w:val="20"/>
    </w:rPr>
  </w:style>
  <w:style w:type="paragraph" w:styleId="39">
    <w:name w:val="Subtitle"/>
    <w:basedOn w:val="1"/>
    <w:next w:val="1"/>
    <w:link w:val="195"/>
    <w:qFormat/>
    <w:uiPriority w:val="0"/>
    <w:pPr>
      <w:spacing w:before="240" w:after="60" w:line="312" w:lineRule="auto"/>
      <w:jc w:val="center"/>
      <w:outlineLvl w:val="1"/>
    </w:pPr>
    <w:rPr>
      <w:rFonts w:ascii="Cambria" w:hAnsi="Cambria"/>
      <w:b/>
      <w:bCs/>
      <w:kern w:val="28"/>
      <w:sz w:val="32"/>
      <w:szCs w:val="32"/>
    </w:rPr>
  </w:style>
  <w:style w:type="paragraph" w:styleId="40">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1">
    <w:name w:val="toc 6"/>
    <w:basedOn w:val="1"/>
    <w:next w:val="1"/>
    <w:qFormat/>
    <w:uiPriority w:val="39"/>
    <w:pPr>
      <w:autoSpaceDE w:val="0"/>
      <w:autoSpaceDN w:val="0"/>
      <w:adjustRightInd w:val="0"/>
      <w:ind w:left="2100" w:leftChars="1000"/>
      <w:jc w:val="left"/>
    </w:pPr>
    <w:rPr>
      <w:kern w:val="0"/>
      <w:sz w:val="20"/>
      <w:szCs w:val="20"/>
    </w:rPr>
  </w:style>
  <w:style w:type="paragraph" w:styleId="42">
    <w:name w:val="Body Text Indent 3"/>
    <w:basedOn w:val="1"/>
    <w:link w:val="169"/>
    <w:qFormat/>
    <w:uiPriority w:val="0"/>
    <w:pPr>
      <w:spacing w:after="120"/>
      <w:ind w:left="420" w:leftChars="200"/>
    </w:pPr>
    <w:rPr>
      <w:sz w:val="16"/>
      <w:szCs w:val="16"/>
    </w:rPr>
  </w:style>
  <w:style w:type="paragraph" w:styleId="43">
    <w:name w:val="toc 2"/>
    <w:basedOn w:val="1"/>
    <w:next w:val="1"/>
    <w:qFormat/>
    <w:uiPriority w:val="39"/>
    <w:pPr>
      <w:ind w:left="420" w:leftChars="200"/>
    </w:pPr>
  </w:style>
  <w:style w:type="paragraph" w:styleId="44">
    <w:name w:val="toc 9"/>
    <w:basedOn w:val="1"/>
    <w:next w:val="1"/>
    <w:qFormat/>
    <w:uiPriority w:val="39"/>
    <w:pPr>
      <w:autoSpaceDE w:val="0"/>
      <w:autoSpaceDN w:val="0"/>
      <w:adjustRightInd w:val="0"/>
      <w:ind w:left="3360" w:leftChars="1600"/>
      <w:jc w:val="left"/>
    </w:pPr>
    <w:rPr>
      <w:kern w:val="0"/>
      <w:sz w:val="20"/>
      <w:szCs w:val="20"/>
    </w:rPr>
  </w:style>
  <w:style w:type="paragraph" w:styleId="45">
    <w:name w:val="Body Text 2"/>
    <w:basedOn w:val="1"/>
    <w:link w:val="184"/>
    <w:qFormat/>
    <w:uiPriority w:val="0"/>
    <w:pPr>
      <w:autoSpaceDE w:val="0"/>
      <w:autoSpaceDN w:val="0"/>
      <w:adjustRightInd w:val="0"/>
      <w:spacing w:after="120" w:line="480" w:lineRule="auto"/>
      <w:jc w:val="left"/>
    </w:pPr>
    <w:rPr>
      <w:kern w:val="0"/>
      <w:sz w:val="20"/>
      <w:szCs w:val="20"/>
    </w:rPr>
  </w:style>
  <w:style w:type="paragraph" w:styleId="4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47">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48">
    <w:name w:val="index 1"/>
    <w:basedOn w:val="1"/>
    <w:next w:val="1"/>
    <w:qFormat/>
    <w:uiPriority w:val="0"/>
    <w:pPr>
      <w:spacing w:line="220" w:lineRule="exact"/>
      <w:jc w:val="center"/>
    </w:pPr>
    <w:rPr>
      <w:rFonts w:ascii="仿宋_GB2312" w:eastAsia="仿宋_GB2312"/>
      <w:szCs w:val="21"/>
    </w:rPr>
  </w:style>
  <w:style w:type="paragraph" w:styleId="49">
    <w:name w:val="Title"/>
    <w:basedOn w:val="1"/>
    <w:link w:val="223"/>
    <w:qFormat/>
    <w:uiPriority w:val="0"/>
    <w:pPr>
      <w:autoSpaceDE w:val="0"/>
      <w:autoSpaceDN w:val="0"/>
      <w:adjustRightInd w:val="0"/>
      <w:spacing w:before="240" w:after="60"/>
      <w:jc w:val="center"/>
      <w:outlineLvl w:val="0"/>
    </w:pPr>
    <w:rPr>
      <w:rFonts w:ascii="Cambria" w:hAnsi="Cambria"/>
      <w:b/>
      <w:bCs/>
      <w:kern w:val="0"/>
      <w:sz w:val="32"/>
      <w:szCs w:val="32"/>
    </w:rPr>
  </w:style>
  <w:style w:type="character" w:styleId="51">
    <w:name w:val="Strong"/>
    <w:qFormat/>
    <w:uiPriority w:val="0"/>
    <w:rPr>
      <w:rFonts w:ascii="仿宋_GB2312" w:eastAsia="仿宋_GB2312"/>
      <w:bCs/>
      <w:sz w:val="32"/>
      <w:szCs w:val="32"/>
    </w:rPr>
  </w:style>
  <w:style w:type="character" w:styleId="52">
    <w:name w:val="page number"/>
    <w:basedOn w:val="50"/>
    <w:qFormat/>
    <w:uiPriority w:val="0"/>
  </w:style>
  <w:style w:type="character" w:styleId="53">
    <w:name w:val="FollowedHyperlink"/>
    <w:qFormat/>
    <w:uiPriority w:val="0"/>
    <w:rPr>
      <w:rFonts w:ascii="仿宋_GB2312" w:eastAsia="仿宋_GB2312"/>
      <w:b/>
      <w:color w:val="800080"/>
      <w:sz w:val="32"/>
      <w:szCs w:val="32"/>
      <w:u w:val="single"/>
    </w:rPr>
  </w:style>
  <w:style w:type="character" w:styleId="54">
    <w:name w:val="Emphasis"/>
    <w:qFormat/>
    <w:uiPriority w:val="0"/>
    <w:rPr>
      <w:i/>
      <w:iCs/>
    </w:rPr>
  </w:style>
  <w:style w:type="character" w:styleId="55">
    <w:name w:val="line number"/>
    <w:qFormat/>
    <w:uiPriority w:val="0"/>
    <w:rPr>
      <w:rFonts w:ascii="仿宋_GB2312" w:hAnsi="Tahoma" w:eastAsia="仿宋_GB2312"/>
      <w:b/>
      <w:sz w:val="32"/>
      <w:szCs w:val="32"/>
    </w:rPr>
  </w:style>
  <w:style w:type="character" w:styleId="56">
    <w:name w:val="HTML Definition"/>
    <w:unhideWhenUsed/>
    <w:qFormat/>
    <w:uiPriority w:val="99"/>
    <w:rPr>
      <w:szCs w:val="20"/>
    </w:rPr>
  </w:style>
  <w:style w:type="character" w:styleId="57">
    <w:name w:val="HTML Acronym"/>
    <w:basedOn w:val="50"/>
    <w:unhideWhenUsed/>
    <w:qFormat/>
    <w:uiPriority w:val="99"/>
  </w:style>
  <w:style w:type="character" w:styleId="58">
    <w:name w:val="HTML Variable"/>
    <w:unhideWhenUsed/>
    <w:qFormat/>
    <w:uiPriority w:val="99"/>
    <w:rPr>
      <w:szCs w:val="20"/>
    </w:rPr>
  </w:style>
  <w:style w:type="character" w:styleId="59">
    <w:name w:val="Hyperlink"/>
    <w:qFormat/>
    <w:uiPriority w:val="99"/>
    <w:rPr>
      <w:rFonts w:ascii="仿宋_GB2312" w:eastAsia="仿宋_GB2312"/>
      <w:color w:val="000000"/>
      <w:sz w:val="20"/>
      <w:szCs w:val="20"/>
      <w:u w:val="none"/>
    </w:rPr>
  </w:style>
  <w:style w:type="character" w:styleId="60">
    <w:name w:val="HTML Code"/>
    <w:unhideWhenUsed/>
    <w:qFormat/>
    <w:uiPriority w:val="99"/>
    <w:rPr>
      <w:rFonts w:hint="eastAsia" w:ascii="微软雅黑" w:hAnsi="微软雅黑" w:eastAsia="微软雅黑" w:cs="微软雅黑"/>
      <w:sz w:val="20"/>
      <w:szCs w:val="20"/>
    </w:rPr>
  </w:style>
  <w:style w:type="character" w:styleId="61">
    <w:name w:val="annotation reference"/>
    <w:qFormat/>
    <w:uiPriority w:val="0"/>
    <w:rPr>
      <w:sz w:val="21"/>
      <w:szCs w:val="21"/>
    </w:rPr>
  </w:style>
  <w:style w:type="character" w:styleId="62">
    <w:name w:val="HTML Cite"/>
    <w:qFormat/>
    <w:uiPriority w:val="0"/>
    <w:rPr>
      <w:color w:val="008000"/>
    </w:rPr>
  </w:style>
  <w:style w:type="character" w:styleId="63">
    <w:name w:val="footnote reference"/>
    <w:qFormat/>
    <w:uiPriority w:val="0"/>
    <w:rPr>
      <w:vertAlign w:val="superscript"/>
    </w:rPr>
  </w:style>
  <w:style w:type="character" w:styleId="64">
    <w:name w:val="HTML Keyboard"/>
    <w:unhideWhenUsed/>
    <w:qFormat/>
    <w:uiPriority w:val="99"/>
    <w:rPr>
      <w:rFonts w:hint="eastAsia" w:ascii="微软雅黑" w:hAnsi="微软雅黑" w:eastAsia="微软雅黑" w:cs="微软雅黑"/>
      <w:sz w:val="20"/>
      <w:szCs w:val="20"/>
    </w:rPr>
  </w:style>
  <w:style w:type="character" w:styleId="65">
    <w:name w:val="HTML Sample"/>
    <w:unhideWhenUsed/>
    <w:qFormat/>
    <w:uiPriority w:val="99"/>
    <w:rPr>
      <w:rFonts w:hint="eastAsia" w:ascii="微软雅黑" w:hAnsi="微软雅黑" w:eastAsia="微软雅黑" w:cs="微软雅黑"/>
      <w:szCs w:val="20"/>
    </w:rPr>
  </w:style>
  <w:style w:type="table" w:styleId="67">
    <w:name w:val="Table Grid"/>
    <w:basedOn w:val="6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8">
    <w:name w:val="font31"/>
    <w:qFormat/>
    <w:uiPriority w:val="0"/>
    <w:rPr>
      <w:rFonts w:hint="eastAsia" w:ascii="宋体" w:hAnsi="宋体" w:eastAsia="宋体" w:cs="宋体"/>
      <w:color w:val="000000"/>
      <w:sz w:val="20"/>
      <w:szCs w:val="20"/>
      <w:u w:val="none"/>
    </w:rPr>
  </w:style>
  <w:style w:type="character" w:customStyle="1" w:styleId="69">
    <w:name w:val="hover15"/>
    <w:qFormat/>
    <w:uiPriority w:val="0"/>
    <w:rPr>
      <w:szCs w:val="20"/>
      <w:u w:val="single"/>
    </w:rPr>
  </w:style>
  <w:style w:type="character" w:customStyle="1" w:styleId="70">
    <w:name w:val=" Char Char"/>
    <w:qFormat/>
    <w:uiPriority w:val="0"/>
    <w:rPr>
      <w:rFonts w:ascii="宋体" w:hAnsi="Courier New" w:eastAsia="宋体"/>
      <w:kern w:val="2"/>
      <w:sz w:val="21"/>
      <w:lang w:val="en-US" w:eastAsia="zh-CN" w:bidi="ar-SA"/>
    </w:rPr>
  </w:style>
  <w:style w:type="character" w:customStyle="1" w:styleId="71">
    <w:name w:val="引用 Char"/>
    <w:link w:val="72"/>
    <w:qFormat/>
    <w:uiPriority w:val="0"/>
    <w:rPr>
      <w:rFonts w:ascii="Calibri" w:hAnsi="Calibri"/>
      <w:b/>
      <w:i/>
      <w:iCs/>
      <w:color w:val="000000"/>
      <w:sz w:val="32"/>
      <w:szCs w:val="32"/>
    </w:rPr>
  </w:style>
  <w:style w:type="paragraph" w:customStyle="1" w:styleId="72">
    <w:name w:val="Quote"/>
    <w:basedOn w:val="1"/>
    <w:next w:val="1"/>
    <w:link w:val="71"/>
    <w:qFormat/>
    <w:uiPriority w:val="0"/>
    <w:rPr>
      <w:rFonts w:ascii="Calibri" w:hAnsi="Calibri"/>
      <w:b/>
      <w:i/>
      <w:iCs/>
      <w:color w:val="000000"/>
      <w:kern w:val="0"/>
      <w:sz w:val="32"/>
      <w:szCs w:val="32"/>
    </w:rPr>
  </w:style>
  <w:style w:type="character" w:customStyle="1" w:styleId="73">
    <w:name w:val="Char Char111"/>
    <w:qFormat/>
    <w:uiPriority w:val="0"/>
    <w:rPr>
      <w:rFonts w:ascii="Times New Roman" w:hAnsi="Times New Roman" w:eastAsia="宋体" w:cs="Times New Roman"/>
      <w:sz w:val="18"/>
      <w:szCs w:val="18"/>
    </w:rPr>
  </w:style>
  <w:style w:type="character" w:customStyle="1" w:styleId="74">
    <w:name w:val=" Char1"/>
    <w:qFormat/>
    <w:uiPriority w:val="0"/>
    <w:rPr>
      <w:rFonts w:ascii="宋体" w:hAnsi="宋体" w:eastAsia="宋体"/>
      <w:b/>
      <w:kern w:val="2"/>
      <w:sz w:val="24"/>
      <w:szCs w:val="24"/>
      <w:lang w:val="en-US" w:eastAsia="zh-CN" w:bidi="ar-SA"/>
    </w:rPr>
  </w:style>
  <w:style w:type="character" w:customStyle="1" w:styleId="75">
    <w:name w:val="Char Char16"/>
    <w:qFormat/>
    <w:uiPriority w:val="0"/>
    <w:rPr>
      <w:rFonts w:ascii="仿宋_GB2312" w:eastAsia="仿宋_GB2312"/>
      <w:b/>
      <w:bCs/>
      <w:kern w:val="2"/>
      <w:sz w:val="28"/>
      <w:szCs w:val="28"/>
    </w:rPr>
  </w:style>
  <w:style w:type="character" w:customStyle="1" w:styleId="76">
    <w:name w:val="gray6"/>
    <w:qFormat/>
    <w:uiPriority w:val="0"/>
    <w:rPr>
      <w:rFonts w:ascii="仿宋_GB2312" w:hAnsi="Tahoma" w:eastAsia="仿宋_GB2312"/>
      <w:b/>
      <w:sz w:val="32"/>
      <w:szCs w:val="32"/>
    </w:rPr>
  </w:style>
  <w:style w:type="character" w:customStyle="1" w:styleId="77">
    <w:name w:val="Char Char15"/>
    <w:qFormat/>
    <w:uiPriority w:val="0"/>
    <w:rPr>
      <w:rFonts w:ascii="Arial" w:hAnsi="Arial" w:eastAsia="黑体"/>
      <w:b/>
      <w:sz w:val="24"/>
      <w:szCs w:val="24"/>
    </w:rPr>
  </w:style>
  <w:style w:type="character" w:customStyle="1" w:styleId="78">
    <w:name w:val="font161"/>
    <w:qFormat/>
    <w:uiPriority w:val="0"/>
    <w:rPr>
      <w:b/>
      <w:bCs/>
      <w:sz w:val="32"/>
      <w:szCs w:val="32"/>
    </w:rPr>
  </w:style>
  <w:style w:type="character" w:customStyle="1" w:styleId="79">
    <w:name w:val="标题 9 Char"/>
    <w:link w:val="10"/>
    <w:qFormat/>
    <w:uiPriority w:val="0"/>
    <w:rPr>
      <w:rFonts w:ascii="Arial" w:hAnsi="Arial" w:eastAsia="黑体"/>
      <w:b/>
      <w:sz w:val="21"/>
      <w:szCs w:val="32"/>
    </w:rPr>
  </w:style>
  <w:style w:type="character" w:customStyle="1" w:styleId="80">
    <w:name w:val="heading 7 Char1"/>
    <w:qFormat/>
    <w:uiPriority w:val="0"/>
    <w:rPr>
      <w:rFonts w:ascii="Arial" w:hAnsi="Arial" w:eastAsia="黑体"/>
      <w:b/>
      <w:sz w:val="21"/>
      <w:szCs w:val="21"/>
      <w:lang w:val="en-US" w:eastAsia="zh-CN" w:bidi="ar-SA"/>
    </w:rPr>
  </w:style>
  <w:style w:type="character" w:customStyle="1" w:styleId="81">
    <w:name w:val="Char Char6"/>
    <w:qFormat/>
    <w:uiPriority w:val="0"/>
    <w:rPr>
      <w:rFonts w:ascii="Times New Roman" w:hAnsi="Times New Roman" w:eastAsia="宋体" w:cs="Times New Roman"/>
      <w:szCs w:val="24"/>
    </w:rPr>
  </w:style>
  <w:style w:type="character" w:customStyle="1" w:styleId="82">
    <w:name w:val="正文首行缩进 Char1"/>
    <w:basedOn w:val="83"/>
    <w:qFormat/>
    <w:uiPriority w:val="0"/>
  </w:style>
  <w:style w:type="character" w:customStyle="1" w:styleId="83">
    <w:name w:val="正文文本 Char1"/>
    <w:link w:val="15"/>
    <w:qFormat/>
    <w:uiPriority w:val="0"/>
    <w:rPr>
      <w:rFonts w:ascii="Tahoma" w:hAnsi="Tahoma"/>
      <w:kern w:val="2"/>
      <w:sz w:val="21"/>
      <w:szCs w:val="24"/>
    </w:rPr>
  </w:style>
  <w:style w:type="character" w:customStyle="1" w:styleId="84">
    <w:name w:val="正文文本缩进 2 Char1"/>
    <w:link w:val="32"/>
    <w:qFormat/>
    <w:uiPriority w:val="0"/>
    <w:rPr>
      <w:kern w:val="2"/>
      <w:sz w:val="21"/>
      <w:szCs w:val="24"/>
    </w:rPr>
  </w:style>
  <w:style w:type="character" w:customStyle="1" w:styleId="85">
    <w:name w:val="red1"/>
    <w:qFormat/>
    <w:uiPriority w:val="0"/>
    <w:rPr>
      <w:color w:val="FF0000"/>
      <w:szCs w:val="20"/>
    </w:rPr>
  </w:style>
  <w:style w:type="character" w:customStyle="1" w:styleId="86">
    <w:name w:val="op-map-singlepoint-info-right1"/>
    <w:basedOn w:val="50"/>
    <w:qFormat/>
    <w:uiPriority w:val="0"/>
  </w:style>
  <w:style w:type="character" w:customStyle="1" w:styleId="87">
    <w:name w:val="批注主题 Char"/>
    <w:qFormat/>
    <w:uiPriority w:val="0"/>
    <w:rPr>
      <w:rFonts w:eastAsia="宋体"/>
      <w:b/>
      <w:bCs/>
      <w:kern w:val="2"/>
      <w:sz w:val="21"/>
      <w:szCs w:val="24"/>
      <w:lang w:val="en-US" w:eastAsia="zh-CN" w:bidi="ar-SA"/>
    </w:rPr>
  </w:style>
  <w:style w:type="character" w:customStyle="1" w:styleId="88">
    <w:name w:val="样式 正文文本 Char Char"/>
    <w:link w:val="89"/>
    <w:qFormat/>
    <w:uiPriority w:val="0"/>
    <w:rPr>
      <w:rFonts w:ascii="Arial" w:hAnsi="Arial" w:cs="宋体"/>
      <w:color w:val="000000"/>
      <w:kern w:val="2"/>
      <w:sz w:val="21"/>
    </w:rPr>
  </w:style>
  <w:style w:type="paragraph" w:customStyle="1" w:styleId="89">
    <w:name w:val="样式 正文文本"/>
    <w:basedOn w:val="1"/>
    <w:link w:val="88"/>
    <w:qFormat/>
    <w:uiPriority w:val="0"/>
    <w:pPr>
      <w:adjustRightInd w:val="0"/>
      <w:snapToGrid w:val="0"/>
      <w:spacing w:line="400" w:lineRule="exact"/>
      <w:ind w:firstLine="200" w:firstLineChars="200"/>
    </w:pPr>
    <w:rPr>
      <w:rFonts w:ascii="Arial" w:hAnsi="Arial"/>
      <w:color w:val="000000"/>
      <w:szCs w:val="20"/>
    </w:rPr>
  </w:style>
  <w:style w:type="character" w:customStyle="1" w:styleId="90">
    <w:name w:val="正文文本缩进 2 Char"/>
    <w:qFormat/>
    <w:uiPriority w:val="0"/>
    <w:rPr>
      <w:kern w:val="2"/>
      <w:sz w:val="21"/>
      <w:szCs w:val="24"/>
    </w:rPr>
  </w:style>
  <w:style w:type="character" w:customStyle="1" w:styleId="91">
    <w:name w:val="标题 4 Char1"/>
    <w:link w:val="5"/>
    <w:qFormat/>
    <w:uiPriority w:val="0"/>
    <w:rPr>
      <w:rFonts w:ascii="Cambria" w:hAnsi="Cambria"/>
      <w:b/>
      <w:bCs/>
      <w:kern w:val="2"/>
      <w:sz w:val="28"/>
      <w:szCs w:val="28"/>
    </w:rPr>
  </w:style>
  <w:style w:type="character" w:customStyle="1" w:styleId="92">
    <w:name w:val="签名 Char"/>
    <w:link w:val="36"/>
    <w:qFormat/>
    <w:uiPriority w:val="0"/>
    <w:rPr>
      <w:rFonts w:ascii="Tahoma" w:hAnsi="Tahoma" w:eastAsia="仿宋_GB2312"/>
      <w:sz w:val="24"/>
      <w:szCs w:val="20"/>
    </w:rPr>
  </w:style>
  <w:style w:type="character" w:customStyle="1" w:styleId="93">
    <w:name w:val="legend"/>
    <w:qFormat/>
    <w:uiPriority w:val="0"/>
    <w:rPr>
      <w:rFonts w:ascii="Arial" w:hAnsi="Arial" w:cs="Arial"/>
      <w:b/>
      <w:color w:val="73B304"/>
      <w:sz w:val="16"/>
      <w:szCs w:val="16"/>
      <w:shd w:val="clear" w:color="auto" w:fill="FFFFFF"/>
    </w:rPr>
  </w:style>
  <w:style w:type="character" w:customStyle="1" w:styleId="94">
    <w:name w:val="Ò³Ã¼ Char Char"/>
    <w:qFormat/>
    <w:uiPriority w:val="0"/>
    <w:rPr>
      <w:rFonts w:ascii="仿宋_GB2312" w:eastAsia="仿宋_GB2312"/>
      <w:b/>
      <w:sz w:val="18"/>
      <w:szCs w:val="18"/>
    </w:rPr>
  </w:style>
  <w:style w:type="character" w:customStyle="1" w:styleId="95">
    <w:name w:val="表正文 Char2"/>
    <w:qFormat/>
    <w:uiPriority w:val="0"/>
    <w:rPr>
      <w:rFonts w:ascii="Times New Roman" w:hAnsi="Times New Roman" w:eastAsia="宋体" w:cs="Times New Roman"/>
      <w:szCs w:val="24"/>
    </w:rPr>
  </w:style>
  <w:style w:type="character" w:customStyle="1" w:styleId="96">
    <w:name w:val="Intense Reference"/>
    <w:qFormat/>
    <w:uiPriority w:val="0"/>
    <w:rPr>
      <w:b/>
      <w:bCs/>
      <w:smallCaps/>
      <w:color w:val="C0504D"/>
      <w:spacing w:val="5"/>
      <w:u w:val="single"/>
    </w:rPr>
  </w:style>
  <w:style w:type="character" w:customStyle="1" w:styleId="97">
    <w:name w:val="Char Char17"/>
    <w:qFormat/>
    <w:uiPriority w:val="0"/>
    <w:rPr>
      <w:rFonts w:ascii="Cambria" w:hAnsi="Cambria" w:eastAsia="仿宋_GB2312"/>
      <w:b/>
      <w:bCs/>
      <w:kern w:val="2"/>
      <w:sz w:val="28"/>
      <w:szCs w:val="28"/>
    </w:rPr>
  </w:style>
  <w:style w:type="character" w:customStyle="1" w:styleId="98">
    <w:name w:val="Char Char2"/>
    <w:qFormat/>
    <w:uiPriority w:val="0"/>
    <w:rPr>
      <w:rFonts w:ascii="Arial" w:hAnsi="Arial" w:eastAsia="黑体"/>
      <w:b/>
      <w:bCs/>
      <w:kern w:val="44"/>
      <w:sz w:val="30"/>
      <w:szCs w:val="44"/>
      <w:lang w:val="en-US" w:eastAsia="zh-CN" w:bidi="ar-SA"/>
    </w:rPr>
  </w:style>
  <w:style w:type="character" w:customStyle="1" w:styleId="99">
    <w:name w:val="Char Char11"/>
    <w:qFormat/>
    <w:uiPriority w:val="0"/>
    <w:rPr>
      <w:rFonts w:ascii="Times New Roman" w:hAnsi="Times New Roman" w:eastAsia="宋体" w:cs="Times New Roman"/>
      <w:sz w:val="18"/>
      <w:szCs w:val="18"/>
    </w:rPr>
  </w:style>
  <w:style w:type="character" w:customStyle="1" w:styleId="100">
    <w:name w:val="Heading 2 Hidden Char1 Char"/>
    <w:qFormat/>
    <w:uiPriority w:val="0"/>
    <w:rPr>
      <w:rFonts w:ascii="宋体" w:hAnsi="Times New Roman" w:eastAsia="宋体" w:cs="Times New Roman"/>
      <w:kern w:val="0"/>
      <w:sz w:val="24"/>
      <w:szCs w:val="24"/>
    </w:rPr>
  </w:style>
  <w:style w:type="character" w:customStyle="1" w:styleId="101">
    <w:name w:val="标题 6 Char"/>
    <w:link w:val="7"/>
    <w:qFormat/>
    <w:uiPriority w:val="0"/>
    <w:rPr>
      <w:rFonts w:ascii="Arial" w:hAnsi="Arial" w:eastAsia="黑体"/>
      <w:b/>
      <w:bCs/>
      <w:kern w:val="2"/>
      <w:sz w:val="24"/>
      <w:szCs w:val="24"/>
    </w:rPr>
  </w:style>
  <w:style w:type="character" w:customStyle="1" w:styleId="102">
    <w:name w:val="pages"/>
    <w:qFormat/>
    <w:uiPriority w:val="0"/>
    <w:rPr>
      <w:color w:val="999999"/>
      <w:szCs w:val="20"/>
    </w:rPr>
  </w:style>
  <w:style w:type="character" w:customStyle="1" w:styleId="103">
    <w:name w:val="heading 2 Char"/>
    <w:qFormat/>
    <w:uiPriority w:val="0"/>
    <w:rPr>
      <w:rFonts w:ascii="Arial" w:hAnsi="Arial" w:eastAsia="黑体" w:cs="Times New Roman"/>
      <w:b/>
      <w:sz w:val="30"/>
      <w:szCs w:val="24"/>
    </w:rPr>
  </w:style>
  <w:style w:type="character" w:customStyle="1" w:styleId="104">
    <w:name w:val="正文缩进 Char"/>
    <w:qFormat/>
    <w:uiPriority w:val="0"/>
    <w:rPr>
      <w:rFonts w:eastAsia="仿宋_GB2312"/>
      <w:sz w:val="21"/>
      <w:lang w:val="en-US" w:eastAsia="zh-CN" w:bidi="ar-SA"/>
    </w:rPr>
  </w:style>
  <w:style w:type="character" w:customStyle="1" w:styleId="105">
    <w:name w:val="标题 1 Char1"/>
    <w:link w:val="2"/>
    <w:qFormat/>
    <w:uiPriority w:val="0"/>
    <w:rPr>
      <w:rFonts w:ascii="楷体_GB2312" w:hAnsi="Tahoma" w:eastAsia="楷体_GB2312"/>
      <w:b/>
      <w:bCs/>
      <w:kern w:val="2"/>
      <w:sz w:val="21"/>
      <w:szCs w:val="24"/>
    </w:rPr>
  </w:style>
  <w:style w:type="character" w:customStyle="1" w:styleId="106">
    <w:name w:val="heading 1 Char1"/>
    <w:qFormat/>
    <w:uiPriority w:val="0"/>
    <w:rPr>
      <w:rFonts w:ascii="仿宋_GB2312" w:eastAsia="宋体"/>
      <w:b/>
      <w:bCs/>
      <w:kern w:val="44"/>
      <w:sz w:val="44"/>
      <w:szCs w:val="44"/>
      <w:lang w:val="en-US" w:eastAsia="zh-CN" w:bidi="ar-SA"/>
    </w:rPr>
  </w:style>
  <w:style w:type="character" w:customStyle="1" w:styleId="107">
    <w:name w:val="正文首行缩进 Char2"/>
    <w:link w:val="14"/>
    <w:qFormat/>
    <w:uiPriority w:val="0"/>
    <w:rPr>
      <w:rFonts w:ascii="仿宋_GB2312"/>
      <w:b/>
      <w:sz w:val="32"/>
      <w:szCs w:val="32"/>
    </w:rPr>
  </w:style>
  <w:style w:type="character" w:customStyle="1" w:styleId="108">
    <w:name w:val="普通文字1 Char"/>
    <w:qFormat/>
    <w:uiPriority w:val="0"/>
    <w:rPr>
      <w:rFonts w:ascii="宋体" w:hAnsi="Courier New" w:eastAsia="宋体" w:cs="Courier New"/>
      <w:kern w:val="2"/>
      <w:sz w:val="21"/>
      <w:szCs w:val="21"/>
      <w:lang w:val="en-US" w:eastAsia="zh-CN" w:bidi="ar-SA"/>
    </w:rPr>
  </w:style>
  <w:style w:type="character" w:customStyle="1" w:styleId="109">
    <w:name w:val="hui"/>
    <w:qFormat/>
    <w:uiPriority w:val="0"/>
    <w:rPr>
      <w:rFonts w:ascii="仿宋_GB2312" w:hAnsi="Tahoma" w:eastAsia="仿宋_GB2312"/>
      <w:b/>
      <w:sz w:val="32"/>
      <w:szCs w:val="32"/>
    </w:rPr>
  </w:style>
  <w:style w:type="character" w:customStyle="1" w:styleId="110">
    <w:name w:val="正文文本缩进 Char"/>
    <w:link w:val="23"/>
    <w:qFormat/>
    <w:uiPriority w:val="0"/>
    <w:rPr>
      <w:rFonts w:ascii="宋体" w:hAnsi="宋体"/>
      <w:kern w:val="2"/>
      <w:sz w:val="24"/>
    </w:rPr>
  </w:style>
  <w:style w:type="character" w:customStyle="1" w:styleId="111">
    <w:name w:val="me04"/>
    <w:qFormat/>
    <w:uiPriority w:val="0"/>
    <w:rPr>
      <w:rFonts w:ascii="仿宋_GB2312" w:hAnsi="Tahoma" w:eastAsia="仿宋_GB2312"/>
      <w:b/>
      <w:sz w:val="32"/>
      <w:szCs w:val="32"/>
    </w:rPr>
  </w:style>
  <w:style w:type="character" w:customStyle="1" w:styleId="112">
    <w:name w:val="input"/>
    <w:basedOn w:val="50"/>
    <w:qFormat/>
    <w:uiPriority w:val="0"/>
  </w:style>
  <w:style w:type="character" w:customStyle="1" w:styleId="113">
    <w:name w:val="PI Char2"/>
    <w:qFormat/>
    <w:uiPriority w:val="0"/>
    <w:rPr>
      <w:rFonts w:ascii="仿宋_GB2312" w:eastAsia="仿宋_GB2312"/>
      <w:b/>
      <w:kern w:val="2"/>
      <w:sz w:val="24"/>
      <w:szCs w:val="24"/>
    </w:rPr>
  </w:style>
  <w:style w:type="character" w:customStyle="1" w:styleId="114">
    <w:name w:val="heading 2 Char1"/>
    <w:qFormat/>
    <w:uiPriority w:val="0"/>
    <w:rPr>
      <w:rFonts w:ascii="Cambria" w:hAnsi="Cambria" w:eastAsia="宋体"/>
      <w:b/>
      <w:bCs/>
      <w:kern w:val="2"/>
      <w:sz w:val="32"/>
      <w:szCs w:val="32"/>
      <w:lang w:val="en-US" w:eastAsia="zh-CN" w:bidi="ar-SA"/>
    </w:rPr>
  </w:style>
  <w:style w:type="character" w:customStyle="1" w:styleId="115">
    <w:name w:val="Intense Emphasis"/>
    <w:qFormat/>
    <w:uiPriority w:val="0"/>
    <w:rPr>
      <w:b/>
      <w:bCs/>
      <w:i/>
      <w:iCs/>
      <w:color w:val="4F81BD"/>
    </w:rPr>
  </w:style>
  <w:style w:type="character" w:customStyle="1" w:styleId="116">
    <w:name w:val="Char Char19"/>
    <w:qFormat/>
    <w:uiPriority w:val="0"/>
    <w:rPr>
      <w:rFonts w:ascii="Cambria" w:hAnsi="Cambria" w:eastAsia="仿宋_GB2312"/>
      <w:b/>
      <w:bCs/>
      <w:kern w:val="2"/>
      <w:sz w:val="32"/>
      <w:szCs w:val="32"/>
    </w:rPr>
  </w:style>
  <w:style w:type="character" w:customStyle="1" w:styleId="117">
    <w:name w:val="样式 标题 3 + 黑体 小四 Char Char"/>
    <w:link w:val="118"/>
    <w:qFormat/>
    <w:uiPriority w:val="0"/>
    <w:rPr>
      <w:rFonts w:ascii="黑体" w:hAnsi="Arial" w:eastAsia="黑体"/>
      <w:bCs/>
      <w:sz w:val="24"/>
      <w:szCs w:val="24"/>
    </w:rPr>
  </w:style>
  <w:style w:type="paragraph" w:customStyle="1" w:styleId="118">
    <w:name w:val="样式 标题 3 + 黑体 小四"/>
    <w:basedOn w:val="4"/>
    <w:link w:val="117"/>
    <w:qFormat/>
    <w:uiPriority w:val="0"/>
    <w:pPr>
      <w:spacing w:line="413" w:lineRule="auto"/>
    </w:pPr>
    <w:rPr>
      <w:rFonts w:ascii="黑体" w:hAnsi="Arial" w:eastAsia="黑体"/>
      <w:b w:val="0"/>
      <w:kern w:val="0"/>
      <w:sz w:val="24"/>
      <w:szCs w:val="24"/>
    </w:rPr>
  </w:style>
  <w:style w:type="character" w:customStyle="1" w:styleId="119">
    <w:name w:val="页脚 Char1"/>
    <w:link w:val="34"/>
    <w:qFormat/>
    <w:uiPriority w:val="0"/>
    <w:rPr>
      <w:kern w:val="2"/>
      <w:sz w:val="18"/>
      <w:szCs w:val="18"/>
    </w:rPr>
  </w:style>
  <w:style w:type="character" w:customStyle="1" w:styleId="120">
    <w:name w:val="heading 6 Char1"/>
    <w:qFormat/>
    <w:uiPriority w:val="0"/>
    <w:rPr>
      <w:rFonts w:ascii="Arial" w:hAnsi="Arial" w:eastAsia="黑体"/>
      <w:b/>
      <w:kern w:val="2"/>
      <w:sz w:val="24"/>
      <w:szCs w:val="24"/>
      <w:lang w:val="en-US" w:eastAsia="zh-CN" w:bidi="ar-SA"/>
    </w:rPr>
  </w:style>
  <w:style w:type="character" w:customStyle="1" w:styleId="121">
    <w:name w:val="style21"/>
    <w:qFormat/>
    <w:uiPriority w:val="0"/>
    <w:rPr>
      <w:rFonts w:ascii="仿宋_GB2312" w:eastAsia="仿宋_GB2312"/>
      <w:b/>
      <w:sz w:val="15"/>
      <w:szCs w:val="15"/>
    </w:rPr>
  </w:style>
  <w:style w:type="character" w:customStyle="1" w:styleId="122">
    <w:name w:val="font21"/>
    <w:qFormat/>
    <w:uiPriority w:val="0"/>
    <w:rPr>
      <w:rFonts w:hint="default" w:ascii="Times New Roman" w:hAnsi="Times New Roman" w:cs="Times New Roman"/>
      <w:color w:val="000000"/>
      <w:sz w:val="20"/>
      <w:szCs w:val="20"/>
      <w:u w:val="none"/>
    </w:rPr>
  </w:style>
  <w:style w:type="character" w:customStyle="1" w:styleId="123">
    <w:name w:val="A3"/>
    <w:qFormat/>
    <w:uiPriority w:val="0"/>
    <w:rPr>
      <w:rFonts w:ascii="ZapfDingbatsNr2EFOP-Regular" w:eastAsia="ZapfDingbatsNr2EFOP-Regular" w:cs="ZapfDingbatsNr2EFOP-Regular"/>
      <w:color w:val="211D1E"/>
      <w:sz w:val="14"/>
      <w:szCs w:val="14"/>
    </w:rPr>
  </w:style>
  <w:style w:type="character" w:customStyle="1" w:styleId="124">
    <w:name w:val="ändrad Char"/>
    <w:qFormat/>
    <w:uiPriority w:val="0"/>
    <w:rPr>
      <w:rFonts w:ascii="仿宋_GB2312" w:eastAsia="宋体"/>
      <w:b/>
      <w:kern w:val="2"/>
      <w:sz w:val="21"/>
      <w:szCs w:val="24"/>
      <w:lang w:val="en-US" w:eastAsia="zh-CN" w:bidi="ar-SA"/>
    </w:rPr>
  </w:style>
  <w:style w:type="character" w:customStyle="1" w:styleId="125">
    <w:name w:val="批注主题 Char1"/>
    <w:link w:val="11"/>
    <w:qFormat/>
    <w:uiPriority w:val="0"/>
    <w:rPr>
      <w:b/>
      <w:bCs/>
      <w:kern w:val="2"/>
      <w:sz w:val="21"/>
      <w:szCs w:val="24"/>
    </w:rPr>
  </w:style>
  <w:style w:type="character" w:customStyle="1" w:styleId="126">
    <w:name w:val="Texte Char Char"/>
    <w:qFormat/>
    <w:uiPriority w:val="0"/>
    <w:rPr>
      <w:rFonts w:ascii="宋体" w:hAnsi="Courier New" w:eastAsia="宋体"/>
      <w:b/>
      <w:sz w:val="21"/>
      <w:szCs w:val="21"/>
      <w:lang w:val="en-US" w:eastAsia="zh-CN" w:bidi="ar-SA"/>
    </w:rPr>
  </w:style>
  <w:style w:type="character" w:customStyle="1" w:styleId="127">
    <w:name w:val="正文文本 Char"/>
    <w:qFormat/>
    <w:uiPriority w:val="0"/>
    <w:rPr>
      <w:rFonts w:ascii="仿宋_GB2312" w:eastAsia="宋体"/>
      <w:b/>
      <w:kern w:val="2"/>
      <w:sz w:val="21"/>
      <w:szCs w:val="24"/>
      <w:lang w:val="en-US" w:eastAsia="zh-CN" w:bidi="ar-SA"/>
    </w:rPr>
  </w:style>
  <w:style w:type="character" w:customStyle="1" w:styleId="128">
    <w:name w:val="htd0"/>
    <w:basedOn w:val="50"/>
    <w:qFormat/>
    <w:uiPriority w:val="0"/>
  </w:style>
  <w:style w:type="character" w:customStyle="1" w:styleId="129">
    <w:name w:val="Char Char20"/>
    <w:qFormat/>
    <w:uiPriority w:val="0"/>
    <w:rPr>
      <w:rFonts w:ascii="仿宋_GB2312" w:eastAsia="仿宋_GB2312"/>
      <w:b/>
      <w:bCs/>
      <w:kern w:val="44"/>
      <w:sz w:val="44"/>
      <w:szCs w:val="44"/>
    </w:rPr>
  </w:style>
  <w:style w:type="character" w:customStyle="1" w:styleId="130">
    <w:name w:val="pt141"/>
    <w:qFormat/>
    <w:uiPriority w:val="0"/>
    <w:rPr>
      <w:rFonts w:ascii="仿宋_GB2312" w:eastAsia="仿宋_GB2312"/>
      <w:b/>
      <w:color w:val="330066"/>
      <w:spacing w:val="450"/>
      <w:sz w:val="22"/>
      <w:szCs w:val="22"/>
    </w:rPr>
  </w:style>
  <w:style w:type="character" w:customStyle="1" w:styleId="131">
    <w:name w:val="Book Title"/>
    <w:qFormat/>
    <w:uiPriority w:val="0"/>
    <w:rPr>
      <w:b/>
      <w:bCs/>
      <w:smallCaps/>
      <w:spacing w:val="5"/>
    </w:rPr>
  </w:style>
  <w:style w:type="character" w:customStyle="1" w:styleId="132">
    <w:name w:val="宏文本 Char1"/>
    <w:semiHidden/>
    <w:qFormat/>
    <w:uiPriority w:val="99"/>
    <w:rPr>
      <w:rFonts w:ascii="Courier New" w:hAnsi="Courier New" w:cs="Courier New"/>
      <w:kern w:val="2"/>
      <w:sz w:val="24"/>
      <w:szCs w:val="24"/>
    </w:rPr>
  </w:style>
  <w:style w:type="character" w:customStyle="1" w:styleId="133">
    <w:name w:val="Footer-Even Char"/>
    <w:qFormat/>
    <w:uiPriority w:val="0"/>
    <w:rPr>
      <w:rFonts w:ascii="仿宋_GB2312" w:eastAsia="仿宋_GB2312"/>
      <w:b/>
      <w:sz w:val="18"/>
      <w:szCs w:val="18"/>
    </w:rPr>
  </w:style>
  <w:style w:type="character" w:customStyle="1" w:styleId="134">
    <w:name w:val="标题 2 Char"/>
    <w:qFormat/>
    <w:uiPriority w:val="0"/>
    <w:rPr>
      <w:rFonts w:ascii="Arial" w:hAnsi="Arial" w:eastAsia="黑体"/>
      <w:b/>
      <w:bCs/>
      <w:kern w:val="2"/>
      <w:sz w:val="32"/>
      <w:szCs w:val="32"/>
      <w:lang w:val="en-US" w:eastAsia="zh-CN" w:bidi="ar-SA"/>
    </w:rPr>
  </w:style>
  <w:style w:type="character" w:customStyle="1" w:styleId="135">
    <w:name w:val="heading 1 Char"/>
    <w:qFormat/>
    <w:uiPriority w:val="0"/>
    <w:rPr>
      <w:rFonts w:ascii="Arial" w:hAnsi="Arial" w:eastAsia="黑体"/>
      <w:b/>
      <w:sz w:val="36"/>
      <w:szCs w:val="36"/>
    </w:rPr>
  </w:style>
  <w:style w:type="character" w:customStyle="1" w:styleId="136">
    <w:name w:val="A6"/>
    <w:qFormat/>
    <w:uiPriority w:val="0"/>
    <w:rPr>
      <w:rFonts w:cs="Helvetica Neue"/>
      <w:color w:val="3E667A"/>
      <w:sz w:val="14"/>
      <w:szCs w:val="14"/>
    </w:rPr>
  </w:style>
  <w:style w:type="character" w:customStyle="1" w:styleId="137">
    <w:name w:val="宏文本 Char"/>
    <w:link w:val="16"/>
    <w:qFormat/>
    <w:uiPriority w:val="99"/>
    <w:rPr>
      <w:rFonts w:ascii="Courier New" w:hAnsi="Courier New"/>
      <w:kern w:val="2"/>
      <w:sz w:val="24"/>
      <w:szCs w:val="24"/>
      <w:lang w:val="en-US" w:eastAsia="zh-CN" w:bidi="ar-SA"/>
    </w:rPr>
  </w:style>
  <w:style w:type="character" w:customStyle="1" w:styleId="138">
    <w:name w:val=" Char Char1"/>
    <w:qFormat/>
    <w:uiPriority w:val="0"/>
    <w:rPr>
      <w:rFonts w:ascii="宋体" w:hAnsi="Courier New" w:eastAsia="宋体"/>
      <w:kern w:val="2"/>
      <w:sz w:val="21"/>
      <w:lang w:val="en-US" w:eastAsia="zh-CN" w:bidi="ar-SA"/>
    </w:rPr>
  </w:style>
  <w:style w:type="character" w:customStyle="1" w:styleId="139">
    <w:name w:val="doc"/>
    <w:basedOn w:val="50"/>
    <w:qFormat/>
    <w:uiPriority w:val="0"/>
  </w:style>
  <w:style w:type="character" w:customStyle="1" w:styleId="140">
    <w:name w:val="正文1 Char Char"/>
    <w:link w:val="141"/>
    <w:qFormat/>
    <w:uiPriority w:val="0"/>
    <w:rPr>
      <w:rFonts w:ascii="宋体" w:hAnsi="宋体" w:cs="宋体"/>
      <w:b/>
      <w:sz w:val="21"/>
      <w:szCs w:val="32"/>
    </w:rPr>
  </w:style>
  <w:style w:type="paragraph" w:customStyle="1" w:styleId="141">
    <w:name w:val="正文1"/>
    <w:basedOn w:val="1"/>
    <w:link w:val="140"/>
    <w:qFormat/>
    <w:uiPriority w:val="0"/>
    <w:pPr>
      <w:widowControl/>
      <w:spacing w:line="360" w:lineRule="auto"/>
      <w:ind w:left="360" w:firstLine="420"/>
      <w:jc w:val="left"/>
    </w:pPr>
    <w:rPr>
      <w:rFonts w:ascii="宋体" w:hAnsi="宋体"/>
      <w:b/>
      <w:kern w:val="0"/>
      <w:szCs w:val="32"/>
    </w:rPr>
  </w:style>
  <w:style w:type="character" w:customStyle="1" w:styleId="142">
    <w:name w:val="标题 Char1"/>
    <w:qFormat/>
    <w:uiPriority w:val="10"/>
    <w:rPr>
      <w:rFonts w:ascii="Cambria" w:hAnsi="Cambria" w:cs="Times New Roman"/>
      <w:b/>
      <w:bCs/>
      <w:kern w:val="2"/>
      <w:sz w:val="32"/>
      <w:szCs w:val="32"/>
    </w:rPr>
  </w:style>
  <w:style w:type="character" w:customStyle="1" w:styleId="143">
    <w:name w:val="zbggmain style9"/>
    <w:basedOn w:val="50"/>
    <w:qFormat/>
    <w:uiPriority w:val="0"/>
  </w:style>
  <w:style w:type="character" w:customStyle="1" w:styleId="144">
    <w:name w:val="标题 4 Char"/>
    <w:qFormat/>
    <w:uiPriority w:val="0"/>
    <w:rPr>
      <w:rFonts w:ascii="Arial" w:hAnsi="Arial" w:eastAsia="黑体"/>
      <w:b/>
      <w:bCs/>
      <w:kern w:val="2"/>
      <w:sz w:val="28"/>
      <w:szCs w:val="28"/>
      <w:lang w:val="en-US" w:eastAsia="zh-CN" w:bidi="ar-SA"/>
    </w:rPr>
  </w:style>
  <w:style w:type="character" w:customStyle="1" w:styleId="145">
    <w:name w:val="Footer-Even Char2"/>
    <w:qFormat/>
    <w:uiPriority w:val="0"/>
    <w:rPr>
      <w:rFonts w:ascii="仿宋_GB2312" w:eastAsia="仿宋_GB2312"/>
      <w:b/>
      <w:kern w:val="2"/>
      <w:sz w:val="18"/>
      <w:szCs w:val="18"/>
    </w:rPr>
  </w:style>
  <w:style w:type="character" w:customStyle="1" w:styleId="146">
    <w:name w:val="heading 5 Char"/>
    <w:qFormat/>
    <w:uiPriority w:val="0"/>
    <w:rPr>
      <w:rFonts w:ascii="Arial" w:hAnsi="Arial" w:eastAsia="黑体"/>
      <w:b/>
      <w:sz w:val="21"/>
      <w:szCs w:val="21"/>
    </w:rPr>
  </w:style>
  <w:style w:type="character" w:customStyle="1" w:styleId="147">
    <w:name w:val="release-day"/>
    <w:qFormat/>
    <w:uiPriority w:val="0"/>
    <w:rPr>
      <w:szCs w:val="20"/>
      <w:bdr w:val="single" w:color="BDEBB0" w:sz="4" w:space="0"/>
      <w:shd w:val="clear" w:color="auto" w:fill="F5FFF1"/>
    </w:rPr>
  </w:style>
  <w:style w:type="character" w:customStyle="1" w:styleId="148">
    <w:name w:val="Style1"/>
    <w:qFormat/>
    <w:uiPriority w:val="0"/>
    <w:rPr>
      <w:rFonts w:ascii="Calibri" w:hAnsi="宋体" w:eastAsia="宋体" w:cs="Times New Roman"/>
      <w:sz w:val="22"/>
      <w:szCs w:val="22"/>
      <w:lang w:eastAsia="zh-CN"/>
    </w:rPr>
  </w:style>
  <w:style w:type="character" w:customStyle="1" w:styleId="149">
    <w:name w:val="标题 5 Char"/>
    <w:link w:val="6"/>
    <w:qFormat/>
    <w:uiPriority w:val="0"/>
    <w:rPr>
      <w:rFonts w:ascii="仿宋_GB2312" w:hAnsi="Tahoma"/>
      <w:b/>
      <w:bCs/>
      <w:kern w:val="2"/>
      <w:sz w:val="28"/>
      <w:szCs w:val="28"/>
    </w:rPr>
  </w:style>
  <w:style w:type="character" w:customStyle="1" w:styleId="150">
    <w:name w:val="Table Text Char Char"/>
    <w:link w:val="151"/>
    <w:qFormat/>
    <w:uiPriority w:val="0"/>
    <w:rPr>
      <w:sz w:val="24"/>
    </w:rPr>
  </w:style>
  <w:style w:type="paragraph" w:customStyle="1" w:styleId="151">
    <w:name w:val="Table Text"/>
    <w:basedOn w:val="1"/>
    <w:link w:val="150"/>
    <w:qFormat/>
    <w:uiPriority w:val="0"/>
    <w:pPr>
      <w:widowControl/>
      <w:autoSpaceDE w:val="0"/>
      <w:autoSpaceDN w:val="0"/>
      <w:adjustRightInd w:val="0"/>
      <w:spacing w:before="60" w:after="60"/>
      <w:jc w:val="left"/>
    </w:pPr>
    <w:rPr>
      <w:kern w:val="0"/>
      <w:sz w:val="24"/>
      <w:szCs w:val="20"/>
    </w:rPr>
  </w:style>
  <w:style w:type="character" w:customStyle="1" w:styleId="152">
    <w:name w:val="页脚 Char"/>
    <w:qFormat/>
    <w:uiPriority w:val="0"/>
    <w:rPr>
      <w:rFonts w:eastAsia="仿宋_GB2312"/>
      <w:kern w:val="2"/>
      <w:sz w:val="18"/>
      <w:szCs w:val="18"/>
      <w:lang w:val="en-US" w:eastAsia="zh-CN" w:bidi="ar-SA"/>
    </w:rPr>
  </w:style>
  <w:style w:type="character" w:customStyle="1" w:styleId="153">
    <w:name w:val="Ò³Ã¼ Char Char2"/>
    <w:qFormat/>
    <w:uiPriority w:val="0"/>
    <w:rPr>
      <w:rFonts w:ascii="仿宋_GB2312" w:eastAsia="仿宋_GB2312"/>
      <w:b/>
      <w:kern w:val="2"/>
      <w:sz w:val="18"/>
      <w:szCs w:val="18"/>
    </w:rPr>
  </w:style>
  <w:style w:type="character" w:customStyle="1" w:styleId="154">
    <w:name w:val="Char Char21"/>
    <w:qFormat/>
    <w:uiPriority w:val="0"/>
    <w:rPr>
      <w:rFonts w:ascii="Times New Roman" w:hAnsi="Times New Roman" w:eastAsia="宋体" w:cs="Times New Roman"/>
      <w:b/>
      <w:bCs/>
      <w:kern w:val="44"/>
      <w:sz w:val="44"/>
      <w:szCs w:val="44"/>
    </w:rPr>
  </w:style>
  <w:style w:type="character" w:customStyle="1" w:styleId="155">
    <w:name w:val="文档结构图 Char"/>
    <w:qFormat/>
    <w:uiPriority w:val="0"/>
    <w:rPr>
      <w:rFonts w:eastAsia="宋体"/>
      <w:kern w:val="2"/>
      <w:sz w:val="21"/>
      <w:szCs w:val="24"/>
      <w:lang w:val="en-US" w:eastAsia="zh-CN" w:bidi="ar-SA"/>
    </w:rPr>
  </w:style>
  <w:style w:type="character" w:customStyle="1" w:styleId="156">
    <w:name w:val="纯文本 Char1"/>
    <w:link w:val="28"/>
    <w:qFormat/>
    <w:uiPriority w:val="0"/>
    <w:rPr>
      <w:rFonts w:ascii="宋体" w:hAnsi="Courier New" w:eastAsia="宋体"/>
      <w:kern w:val="2"/>
      <w:sz w:val="21"/>
      <w:lang w:val="en-US" w:eastAsia="zh-CN" w:bidi="ar-SA"/>
    </w:rPr>
  </w:style>
  <w:style w:type="character" w:customStyle="1" w:styleId="157">
    <w:name w:val="Char Char211"/>
    <w:qFormat/>
    <w:uiPriority w:val="0"/>
    <w:rPr>
      <w:rFonts w:ascii="Times New Roman" w:hAnsi="Times New Roman" w:eastAsia="宋体" w:cs="Times New Roman"/>
      <w:b/>
      <w:bCs/>
      <w:kern w:val="44"/>
      <w:sz w:val="44"/>
      <w:szCs w:val="44"/>
    </w:rPr>
  </w:style>
  <w:style w:type="character" w:customStyle="1" w:styleId="158">
    <w:name w:val="页眉 Char"/>
    <w:qFormat/>
    <w:uiPriority w:val="0"/>
    <w:rPr>
      <w:rFonts w:eastAsia="仿宋_GB2312"/>
      <w:kern w:val="2"/>
      <w:sz w:val="18"/>
      <w:szCs w:val="18"/>
      <w:lang w:val="en-US" w:eastAsia="zh-CN" w:bidi="ar-SA"/>
    </w:rPr>
  </w:style>
  <w:style w:type="character" w:customStyle="1" w:styleId="159">
    <w:name w:val="样式 正文文本 Char Char Char"/>
    <w:qFormat/>
    <w:uiPriority w:val="0"/>
    <w:rPr>
      <w:rFonts w:ascii="Arial" w:hAnsi="Arial" w:eastAsia="宋体"/>
      <w:color w:val="000000"/>
      <w:kern w:val="2"/>
      <w:sz w:val="21"/>
      <w:lang w:val="en-US" w:eastAsia="zh-CN" w:bidi="ar-SA"/>
    </w:rPr>
  </w:style>
  <w:style w:type="character" w:customStyle="1" w:styleId="160">
    <w:name w:val="heading 3 Char"/>
    <w:qFormat/>
    <w:uiPriority w:val="0"/>
    <w:rPr>
      <w:rFonts w:ascii="Arial" w:hAnsi="Arial" w:eastAsia="黑体"/>
      <w:b/>
      <w:sz w:val="28"/>
      <w:szCs w:val="24"/>
    </w:rPr>
  </w:style>
  <w:style w:type="character" w:customStyle="1" w:styleId="161">
    <w:name w:val="Subtle Emphasis"/>
    <w:qFormat/>
    <w:uiPriority w:val="0"/>
    <w:rPr>
      <w:i/>
      <w:iCs/>
      <w:color w:val="808080"/>
    </w:rPr>
  </w:style>
  <w:style w:type="character" w:customStyle="1" w:styleId="162">
    <w:name w:val="Char Char18"/>
    <w:qFormat/>
    <w:uiPriority w:val="0"/>
    <w:rPr>
      <w:rFonts w:ascii="仿宋_GB2312" w:eastAsia="仿宋_GB2312"/>
      <w:b/>
      <w:bCs/>
      <w:kern w:val="2"/>
      <w:sz w:val="32"/>
      <w:szCs w:val="32"/>
    </w:rPr>
  </w:style>
  <w:style w:type="character" w:customStyle="1" w:styleId="163">
    <w:name w:val="标题 3 Char"/>
    <w:qFormat/>
    <w:uiPriority w:val="0"/>
    <w:rPr>
      <w:rFonts w:ascii="黑体" w:hAnsi="宋体" w:eastAsia="黑体"/>
      <w:bCs/>
      <w:kern w:val="2"/>
      <w:sz w:val="28"/>
      <w:szCs w:val="28"/>
      <w:lang w:val="en-US" w:eastAsia="zh-CN" w:bidi="ar-SA"/>
    </w:rPr>
  </w:style>
  <w:style w:type="character" w:customStyle="1" w:styleId="164">
    <w:name w:val="正文缩进 Char1"/>
    <w:qFormat/>
    <w:uiPriority w:val="0"/>
    <w:rPr>
      <w:rFonts w:eastAsia="宋体"/>
      <w:sz w:val="21"/>
      <w:lang w:val="en-US" w:eastAsia="zh-CN" w:bidi="ar-SA"/>
    </w:rPr>
  </w:style>
  <w:style w:type="character" w:customStyle="1" w:styleId="165">
    <w:name w:val="Plain Text Char"/>
    <w:qFormat/>
    <w:uiPriority w:val="0"/>
    <w:rPr>
      <w:rFonts w:ascii="宋体" w:hAnsi="Courier New" w:eastAsia="宋体" w:cs="Times New Roman"/>
      <w:sz w:val="21"/>
      <w:szCs w:val="21"/>
    </w:rPr>
  </w:style>
  <w:style w:type="character" w:customStyle="1" w:styleId="166">
    <w:name w:val="fr"/>
    <w:basedOn w:val="50"/>
    <w:qFormat/>
    <w:uiPriority w:val="0"/>
  </w:style>
  <w:style w:type="character" w:customStyle="1" w:styleId="167">
    <w:name w:val="font11"/>
    <w:qFormat/>
    <w:uiPriority w:val="0"/>
    <w:rPr>
      <w:rFonts w:hint="eastAsia" w:ascii="宋体" w:hAnsi="宋体" w:eastAsia="宋体" w:cs="宋体"/>
      <w:color w:val="000000"/>
      <w:sz w:val="20"/>
      <w:szCs w:val="20"/>
      <w:u w:val="none"/>
      <w:vertAlign w:val="superscript"/>
    </w:rPr>
  </w:style>
  <w:style w:type="character" w:customStyle="1" w:styleId="168">
    <w:name w:val="doc1"/>
    <w:basedOn w:val="50"/>
    <w:qFormat/>
    <w:uiPriority w:val="0"/>
  </w:style>
  <w:style w:type="character" w:customStyle="1" w:styleId="169">
    <w:name w:val="正文文本缩进 3 Char"/>
    <w:link w:val="42"/>
    <w:qFormat/>
    <w:uiPriority w:val="0"/>
    <w:rPr>
      <w:kern w:val="2"/>
      <w:sz w:val="16"/>
      <w:szCs w:val="16"/>
    </w:rPr>
  </w:style>
  <w:style w:type="character" w:customStyle="1" w:styleId="170">
    <w:name w:val="标题 3 Char1"/>
    <w:link w:val="4"/>
    <w:qFormat/>
    <w:uiPriority w:val="0"/>
    <w:rPr>
      <w:b/>
      <w:bCs/>
      <w:kern w:val="2"/>
      <w:sz w:val="32"/>
      <w:szCs w:val="32"/>
    </w:rPr>
  </w:style>
  <w:style w:type="character" w:customStyle="1" w:styleId="171">
    <w:name w:val="Footer-Even Char1"/>
    <w:qFormat/>
    <w:uiPriority w:val="0"/>
    <w:rPr>
      <w:rFonts w:ascii="仿宋_GB2312" w:eastAsia="宋体"/>
      <w:b/>
      <w:kern w:val="2"/>
      <w:sz w:val="18"/>
      <w:szCs w:val="18"/>
      <w:lang w:val="en-US" w:eastAsia="zh-CN" w:bidi="ar-SA"/>
    </w:rPr>
  </w:style>
  <w:style w:type="character" w:customStyle="1" w:styleId="172">
    <w:name w:val="样式 宋体"/>
    <w:qFormat/>
    <w:uiPriority w:val="0"/>
    <w:rPr>
      <w:rFonts w:ascii="宋体" w:hAnsi="宋体" w:eastAsia="宋体"/>
      <w:b/>
      <w:sz w:val="24"/>
      <w:szCs w:val="24"/>
    </w:rPr>
  </w:style>
  <w:style w:type="character" w:customStyle="1" w:styleId="173">
    <w:name w:val="正文首行缩进 Char"/>
    <w:basedOn w:val="127"/>
    <w:qFormat/>
    <w:uiPriority w:val="0"/>
  </w:style>
  <w:style w:type="character" w:customStyle="1" w:styleId="174">
    <w:name w:val="style41"/>
    <w:qFormat/>
    <w:uiPriority w:val="0"/>
    <w:rPr>
      <w:rFonts w:ascii="仿宋_GB2312" w:eastAsia="仿宋_GB2312"/>
      <w:b/>
      <w:color w:val="auto"/>
      <w:sz w:val="32"/>
      <w:szCs w:val="32"/>
    </w:rPr>
  </w:style>
  <w:style w:type="character" w:customStyle="1" w:styleId="175">
    <w:name w:val="副标题 Char1"/>
    <w:qFormat/>
    <w:uiPriority w:val="11"/>
    <w:rPr>
      <w:rFonts w:ascii="Cambria" w:hAnsi="Cambria" w:cs="Times New Roman"/>
      <w:b/>
      <w:bCs/>
      <w:kern w:val="28"/>
      <w:sz w:val="32"/>
      <w:szCs w:val="32"/>
    </w:rPr>
  </w:style>
  <w:style w:type="character" w:customStyle="1" w:styleId="176">
    <w:name w:val="明显引用 Char"/>
    <w:link w:val="177"/>
    <w:qFormat/>
    <w:uiPriority w:val="0"/>
    <w:rPr>
      <w:rFonts w:ascii="Calibri" w:hAnsi="Calibri"/>
      <w:b/>
      <w:bCs/>
      <w:i/>
      <w:iCs/>
      <w:color w:val="4F81BD"/>
      <w:sz w:val="32"/>
      <w:szCs w:val="32"/>
    </w:rPr>
  </w:style>
  <w:style w:type="paragraph" w:customStyle="1" w:styleId="177">
    <w:name w:val="Intense Quote"/>
    <w:basedOn w:val="1"/>
    <w:next w:val="1"/>
    <w:link w:val="176"/>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178">
    <w:name w:val="heading 5 Char2"/>
    <w:qFormat/>
    <w:uiPriority w:val="0"/>
    <w:rPr>
      <w:rFonts w:ascii="仿宋_GB2312" w:eastAsia="仿宋_GB2312"/>
      <w:b/>
      <w:bCs/>
      <w:kern w:val="2"/>
      <w:sz w:val="28"/>
      <w:szCs w:val="28"/>
    </w:rPr>
  </w:style>
  <w:style w:type="character" w:customStyle="1" w:styleId="179">
    <w:name w:val="日期 Char"/>
    <w:link w:val="31"/>
    <w:qFormat/>
    <w:uiPriority w:val="0"/>
    <w:rPr>
      <w:spacing w:val="12"/>
      <w:kern w:val="2"/>
      <w:sz w:val="24"/>
    </w:rPr>
  </w:style>
  <w:style w:type="character" w:customStyle="1" w:styleId="180">
    <w:name w:val="批注框文本 Char"/>
    <w:link w:val="33"/>
    <w:qFormat/>
    <w:uiPriority w:val="0"/>
    <w:rPr>
      <w:kern w:val="2"/>
      <w:sz w:val="18"/>
      <w:szCs w:val="18"/>
    </w:rPr>
  </w:style>
  <w:style w:type="character" w:customStyle="1" w:styleId="181">
    <w:name w:val="heading 9 Char1"/>
    <w:qFormat/>
    <w:uiPriority w:val="0"/>
    <w:rPr>
      <w:rFonts w:ascii="Arial" w:hAnsi="Arial" w:eastAsia="黑体"/>
      <w:b/>
      <w:sz w:val="21"/>
      <w:szCs w:val="32"/>
      <w:lang w:val="en-US" w:eastAsia="zh-CN" w:bidi="ar-SA"/>
    </w:rPr>
  </w:style>
  <w:style w:type="character" w:customStyle="1" w:styleId="182">
    <w:name w:val="正文缩进 Char1 Char"/>
    <w:qFormat/>
    <w:uiPriority w:val="0"/>
    <w:rPr>
      <w:rFonts w:ascii="仿宋_GB2312" w:eastAsia="宋体"/>
      <w:b/>
      <w:sz w:val="21"/>
      <w:szCs w:val="32"/>
      <w:lang w:val="en-US" w:eastAsia="zh-CN" w:bidi="ar-SA"/>
    </w:rPr>
  </w:style>
  <w:style w:type="character" w:customStyle="1" w:styleId="183">
    <w:name w:val="Char Char22"/>
    <w:qFormat/>
    <w:uiPriority w:val="0"/>
    <w:rPr>
      <w:rFonts w:ascii="Arial" w:hAnsi="Arial" w:eastAsia="黑体"/>
      <w:b/>
      <w:bCs/>
      <w:kern w:val="44"/>
      <w:sz w:val="30"/>
      <w:szCs w:val="44"/>
      <w:lang w:val="en-US" w:eastAsia="zh-CN" w:bidi="ar-SA"/>
    </w:rPr>
  </w:style>
  <w:style w:type="character" w:customStyle="1" w:styleId="184">
    <w:name w:val="正文文本 2 Char"/>
    <w:basedOn w:val="50"/>
    <w:link w:val="45"/>
    <w:qFormat/>
    <w:uiPriority w:val="0"/>
  </w:style>
  <w:style w:type="character" w:customStyle="1" w:styleId="185">
    <w:name w:val="heading 3 Char1"/>
    <w:qFormat/>
    <w:uiPriority w:val="0"/>
    <w:rPr>
      <w:rFonts w:ascii="仿宋_GB2312" w:eastAsia="宋体"/>
      <w:b/>
      <w:bCs/>
      <w:kern w:val="2"/>
      <w:sz w:val="32"/>
      <w:szCs w:val="32"/>
      <w:lang w:val="en-US" w:eastAsia="zh-CN" w:bidi="ar-SA"/>
    </w:rPr>
  </w:style>
  <w:style w:type="character" w:customStyle="1" w:styleId="186">
    <w:name w:val="update"/>
    <w:basedOn w:val="50"/>
    <w:qFormat/>
    <w:uiPriority w:val="0"/>
  </w:style>
  <w:style w:type="character" w:customStyle="1" w:styleId="187">
    <w:name w:val="blue1"/>
    <w:qFormat/>
    <w:uiPriority w:val="0"/>
    <w:rPr>
      <w:rFonts w:ascii="仿宋_GB2312" w:hAnsi="Tahoma" w:eastAsia="仿宋_GB2312"/>
      <w:b/>
      <w:sz w:val="32"/>
      <w:szCs w:val="32"/>
    </w:rPr>
  </w:style>
  <w:style w:type="character" w:customStyle="1" w:styleId="188">
    <w:name w:val="表格 Char Char"/>
    <w:link w:val="189"/>
    <w:qFormat/>
    <w:uiPriority w:val="0"/>
    <w:rPr>
      <w:rFonts w:ascii="宋体" w:hAnsi="宋体"/>
      <w:b/>
      <w:sz w:val="32"/>
      <w:szCs w:val="32"/>
    </w:rPr>
  </w:style>
  <w:style w:type="paragraph" w:customStyle="1" w:styleId="189">
    <w:name w:val="表格"/>
    <w:basedOn w:val="1"/>
    <w:link w:val="188"/>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190">
    <w:name w:val="upload"/>
    <w:basedOn w:val="50"/>
    <w:qFormat/>
    <w:uiPriority w:val="0"/>
  </w:style>
  <w:style w:type="character" w:customStyle="1" w:styleId="191">
    <w:name w:val="heading 8 Char1"/>
    <w:qFormat/>
    <w:uiPriority w:val="0"/>
    <w:rPr>
      <w:rFonts w:ascii="Arial" w:hAnsi="Arial" w:eastAsia="黑体"/>
      <w:b/>
      <w:sz w:val="24"/>
      <w:szCs w:val="32"/>
      <w:lang w:val="en-US" w:eastAsia="zh-CN" w:bidi="ar-SA"/>
    </w:rPr>
  </w:style>
  <w:style w:type="character" w:customStyle="1" w:styleId="192">
    <w:name w:val="Subtle Reference"/>
    <w:qFormat/>
    <w:uiPriority w:val="0"/>
    <w:rPr>
      <w:smallCaps/>
      <w:color w:val="C0504D"/>
      <w:u w:val="single"/>
    </w:rPr>
  </w:style>
  <w:style w:type="character" w:customStyle="1" w:styleId="193">
    <w:name w:val="样式2 Char Char"/>
    <w:link w:val="194"/>
    <w:qFormat/>
    <w:uiPriority w:val="0"/>
    <w:rPr>
      <w:rFonts w:ascii="宋体" w:hAnsi="宋体"/>
      <w:b/>
      <w:bCs/>
      <w:kern w:val="2"/>
      <w:sz w:val="28"/>
      <w:szCs w:val="28"/>
    </w:rPr>
  </w:style>
  <w:style w:type="paragraph" w:customStyle="1" w:styleId="194">
    <w:name w:val="样式2"/>
    <w:basedOn w:val="3"/>
    <w:link w:val="193"/>
    <w:qFormat/>
    <w:uiPriority w:val="0"/>
    <w:pPr>
      <w:snapToGrid w:val="0"/>
      <w:spacing w:afterLines="50" w:line="480" w:lineRule="exact"/>
      <w:ind w:firstLine="556"/>
    </w:pPr>
    <w:rPr>
      <w:rFonts w:ascii="宋体" w:hAnsi="宋体" w:eastAsia="宋体"/>
      <w:sz w:val="28"/>
      <w:szCs w:val="28"/>
    </w:rPr>
  </w:style>
  <w:style w:type="character" w:customStyle="1" w:styleId="195">
    <w:name w:val="副标题 Char"/>
    <w:link w:val="39"/>
    <w:qFormat/>
    <w:uiPriority w:val="0"/>
    <w:rPr>
      <w:rFonts w:ascii="Cambria" w:hAnsi="Cambria"/>
      <w:b/>
      <w:bCs/>
      <w:kern w:val="28"/>
      <w:sz w:val="32"/>
      <w:szCs w:val="32"/>
    </w:rPr>
  </w:style>
  <w:style w:type="character" w:customStyle="1" w:styleId="196">
    <w:name w:val="style111"/>
    <w:qFormat/>
    <w:uiPriority w:val="0"/>
    <w:rPr>
      <w:sz w:val="27"/>
      <w:szCs w:val="27"/>
    </w:rPr>
  </w:style>
  <w:style w:type="character" w:customStyle="1" w:styleId="197">
    <w:name w:val="heading 5 Char1"/>
    <w:qFormat/>
    <w:uiPriority w:val="0"/>
    <w:rPr>
      <w:rFonts w:ascii="仿宋_GB2312" w:eastAsia="宋体"/>
      <w:b/>
      <w:bCs/>
      <w:kern w:val="2"/>
      <w:sz w:val="28"/>
      <w:szCs w:val="28"/>
      <w:lang w:val="en-US" w:eastAsia="zh-CN" w:bidi="ar-SA"/>
    </w:rPr>
  </w:style>
  <w:style w:type="character" w:customStyle="1" w:styleId="198">
    <w:name w:val="Ò³Ã¼ Char Char1"/>
    <w:qFormat/>
    <w:uiPriority w:val="0"/>
    <w:rPr>
      <w:rFonts w:ascii="仿宋_GB2312" w:eastAsia="宋体"/>
      <w:b/>
      <w:kern w:val="2"/>
      <w:sz w:val="18"/>
      <w:szCs w:val="18"/>
      <w:lang w:val="en-US" w:eastAsia="zh-CN" w:bidi="ar-SA"/>
    </w:rPr>
  </w:style>
  <w:style w:type="character" w:customStyle="1" w:styleId="199">
    <w:name w:val="标题 8 Char"/>
    <w:link w:val="9"/>
    <w:qFormat/>
    <w:uiPriority w:val="0"/>
    <w:rPr>
      <w:rFonts w:ascii="Arial" w:hAnsi="Arial" w:eastAsia="黑体"/>
      <w:b/>
      <w:sz w:val="24"/>
      <w:szCs w:val="32"/>
    </w:rPr>
  </w:style>
  <w:style w:type="character" w:customStyle="1" w:styleId="200">
    <w:name w:val="页眉 Char1"/>
    <w:link w:val="35"/>
    <w:qFormat/>
    <w:uiPriority w:val="0"/>
    <w:rPr>
      <w:kern w:val="2"/>
      <w:sz w:val="18"/>
      <w:szCs w:val="18"/>
    </w:rPr>
  </w:style>
  <w:style w:type="character" w:customStyle="1" w:styleId="201">
    <w:name w:val="heading 2 Char2"/>
    <w:qFormat/>
    <w:uiPriority w:val="0"/>
    <w:rPr>
      <w:rFonts w:ascii="Cambria" w:hAnsi="Cambria" w:eastAsia="仿宋_GB2312"/>
      <w:b/>
      <w:bCs/>
      <w:kern w:val="2"/>
      <w:sz w:val="32"/>
      <w:szCs w:val="32"/>
    </w:rPr>
  </w:style>
  <w:style w:type="character" w:customStyle="1" w:styleId="202">
    <w:name w:val="heading 1 Char2"/>
    <w:qFormat/>
    <w:uiPriority w:val="0"/>
    <w:rPr>
      <w:rFonts w:ascii="仿宋_GB2312" w:eastAsia="仿宋_GB2312"/>
      <w:b/>
      <w:bCs/>
      <w:kern w:val="44"/>
      <w:sz w:val="44"/>
      <w:szCs w:val="44"/>
    </w:rPr>
  </w:style>
  <w:style w:type="character" w:customStyle="1" w:styleId="203">
    <w:name w:val="authcode"/>
    <w:basedOn w:val="50"/>
    <w:qFormat/>
    <w:uiPriority w:val="0"/>
  </w:style>
  <w:style w:type="character" w:customStyle="1" w:styleId="204">
    <w:name w:val="password"/>
    <w:basedOn w:val="50"/>
    <w:qFormat/>
    <w:uiPriority w:val="0"/>
  </w:style>
  <w:style w:type="character" w:customStyle="1" w:styleId="205">
    <w:name w:val="引用 Char1"/>
    <w:qFormat/>
    <w:uiPriority w:val="99"/>
    <w:rPr>
      <w:rFonts w:ascii="Tahoma" w:hAnsi="Tahoma"/>
      <w:i/>
      <w:iCs/>
      <w:color w:val="000000"/>
      <w:kern w:val="2"/>
      <w:sz w:val="21"/>
      <w:szCs w:val="24"/>
    </w:rPr>
  </w:style>
  <w:style w:type="character" w:customStyle="1" w:styleId="206">
    <w:name w:val="hover30"/>
    <w:basedOn w:val="50"/>
    <w:qFormat/>
    <w:uiPriority w:val="0"/>
  </w:style>
  <w:style w:type="character" w:customStyle="1" w:styleId="207">
    <w:name w:val="heading 3 Char2"/>
    <w:qFormat/>
    <w:uiPriority w:val="0"/>
    <w:rPr>
      <w:rFonts w:ascii="仿宋_GB2312" w:eastAsia="仿宋_GB2312"/>
      <w:b/>
      <w:bCs/>
      <w:kern w:val="2"/>
      <w:sz w:val="32"/>
      <w:szCs w:val="32"/>
    </w:rPr>
  </w:style>
  <w:style w:type="character" w:customStyle="1" w:styleId="208">
    <w:name w:val="dandyren_title1"/>
    <w:qFormat/>
    <w:uiPriority w:val="0"/>
    <w:rPr>
      <w:rFonts w:ascii="仿宋_GB2312" w:eastAsia="仿宋_GB2312"/>
      <w:b/>
      <w:bCs/>
      <w:color w:val="FF6633"/>
      <w:sz w:val="18"/>
      <w:szCs w:val="18"/>
    </w:rPr>
  </w:style>
  <w:style w:type="character" w:customStyle="1" w:styleId="209">
    <w:name w:val="num"/>
    <w:qFormat/>
    <w:uiPriority w:val="0"/>
    <w:rPr>
      <w:b/>
      <w:color w:val="FF7800"/>
      <w:szCs w:val="20"/>
    </w:rPr>
  </w:style>
  <w:style w:type="character" w:customStyle="1" w:styleId="210">
    <w:name w:val="smalltxt1"/>
    <w:qFormat/>
    <w:uiPriority w:val="0"/>
    <w:rPr>
      <w:rFonts w:hint="default" w:ascii="ˎ̥" w:hAnsi="ˎ̥" w:eastAsia="仿宋_GB2312"/>
      <w:b/>
      <w:sz w:val="24"/>
      <w:szCs w:val="24"/>
    </w:rPr>
  </w:style>
  <w:style w:type="character" w:customStyle="1" w:styleId="211">
    <w:name w:val="param_td1"/>
    <w:qFormat/>
    <w:uiPriority w:val="0"/>
    <w:rPr>
      <w:rFonts w:ascii="仿宋_GB2312" w:hAnsi="Tahoma" w:eastAsia="仿宋_GB2312"/>
      <w:b/>
      <w:sz w:val="32"/>
      <w:szCs w:val="32"/>
    </w:rPr>
  </w:style>
  <w:style w:type="character" w:customStyle="1" w:styleId="212">
    <w:name w:val="Style3"/>
    <w:qFormat/>
    <w:uiPriority w:val="0"/>
    <w:rPr>
      <w:rFonts w:ascii="Calibri" w:hAnsi="宋体" w:eastAsia="宋体" w:cs="Times New Roman"/>
      <w:szCs w:val="22"/>
      <w:lang w:eastAsia="zh-CN"/>
    </w:rPr>
  </w:style>
  <w:style w:type="character" w:customStyle="1" w:styleId="213">
    <w:name w:val="批注文字 Char1"/>
    <w:link w:val="12"/>
    <w:qFormat/>
    <w:uiPriority w:val="0"/>
    <w:rPr>
      <w:kern w:val="2"/>
      <w:sz w:val="21"/>
      <w:szCs w:val="24"/>
    </w:rPr>
  </w:style>
  <w:style w:type="character" w:customStyle="1" w:styleId="214">
    <w:name w:val="纯文本 Char"/>
    <w:qFormat/>
    <w:uiPriority w:val="0"/>
    <w:rPr>
      <w:rFonts w:ascii="仿宋_GB2312" w:hAnsi="Wingdings" w:eastAsia="仿宋_GB2312"/>
      <w:sz w:val="21"/>
      <w:szCs w:val="21"/>
      <w:lang w:val="en-US" w:eastAsia="zh-CN" w:bidi="ar-SA"/>
    </w:rPr>
  </w:style>
  <w:style w:type="character" w:customStyle="1" w:styleId="215">
    <w:name w:val="Style2"/>
    <w:qFormat/>
    <w:uiPriority w:val="0"/>
    <w:rPr>
      <w:rFonts w:ascii="Calibri" w:hAnsi="宋体" w:eastAsia="宋体" w:cs="Times New Roman"/>
      <w:sz w:val="22"/>
      <w:szCs w:val="22"/>
      <w:lang w:eastAsia="zh-CN"/>
    </w:rPr>
  </w:style>
  <w:style w:type="character" w:customStyle="1" w:styleId="216">
    <w:name w:val="Char Char61"/>
    <w:qFormat/>
    <w:uiPriority w:val="0"/>
    <w:rPr>
      <w:rFonts w:ascii="Times New Roman" w:hAnsi="Times New Roman" w:eastAsia="宋体" w:cs="Times New Roman"/>
      <w:szCs w:val="24"/>
    </w:rPr>
  </w:style>
  <w:style w:type="character" w:customStyle="1" w:styleId="217">
    <w:name w:val="Char Char201"/>
    <w:qFormat/>
    <w:uiPriority w:val="0"/>
    <w:rPr>
      <w:rFonts w:ascii="Cambria" w:hAnsi="Cambria" w:eastAsia="宋体" w:cs="Times New Roman"/>
      <w:b/>
      <w:bCs/>
      <w:sz w:val="32"/>
      <w:szCs w:val="32"/>
    </w:rPr>
  </w:style>
  <w:style w:type="character" w:customStyle="1" w:styleId="218">
    <w:name w:val="PI Char1"/>
    <w:qFormat/>
    <w:uiPriority w:val="0"/>
    <w:rPr>
      <w:rFonts w:ascii="仿宋_GB2312" w:eastAsia="宋体"/>
      <w:b/>
      <w:kern w:val="2"/>
      <w:sz w:val="24"/>
      <w:szCs w:val="24"/>
      <w:lang w:val="en-US" w:eastAsia="zh-CN" w:bidi="ar-SA"/>
    </w:rPr>
  </w:style>
  <w:style w:type="character" w:customStyle="1" w:styleId="219">
    <w:name w:val="heading 4 Char"/>
    <w:qFormat/>
    <w:uiPriority w:val="0"/>
    <w:rPr>
      <w:rFonts w:ascii="Arial" w:hAnsi="Arial" w:eastAsia="黑体" w:cs="Times New Roman"/>
      <w:b/>
      <w:sz w:val="21"/>
      <w:szCs w:val="21"/>
    </w:rPr>
  </w:style>
  <w:style w:type="character" w:customStyle="1" w:styleId="220">
    <w:name w:val="Style5"/>
    <w:qFormat/>
    <w:uiPriority w:val="0"/>
    <w:rPr>
      <w:rFonts w:ascii="Calibri" w:hAnsi="宋体" w:eastAsia="宋体" w:cs="Times New Roman"/>
      <w:sz w:val="22"/>
      <w:szCs w:val="22"/>
      <w:lang w:eastAsia="zh-CN"/>
    </w:rPr>
  </w:style>
  <w:style w:type="character" w:customStyle="1" w:styleId="221">
    <w:name w:val="批注文字 Char"/>
    <w:qFormat/>
    <w:uiPriority w:val="0"/>
    <w:rPr>
      <w:rFonts w:eastAsia="宋体"/>
      <w:kern w:val="2"/>
      <w:sz w:val="21"/>
      <w:szCs w:val="24"/>
      <w:lang w:val="en-US" w:eastAsia="zh-CN" w:bidi="ar-SA"/>
    </w:rPr>
  </w:style>
  <w:style w:type="character" w:customStyle="1" w:styleId="222">
    <w:name w:val="称呼 Char"/>
    <w:basedOn w:val="50"/>
    <w:link w:val="21"/>
    <w:qFormat/>
    <w:uiPriority w:val="0"/>
  </w:style>
  <w:style w:type="character" w:customStyle="1" w:styleId="223">
    <w:name w:val="标题 Char"/>
    <w:link w:val="49"/>
    <w:qFormat/>
    <w:uiPriority w:val="0"/>
    <w:rPr>
      <w:rFonts w:ascii="Cambria" w:hAnsi="Cambria"/>
      <w:b/>
      <w:bCs/>
      <w:sz w:val="32"/>
      <w:szCs w:val="32"/>
    </w:rPr>
  </w:style>
  <w:style w:type="character" w:customStyle="1" w:styleId="224">
    <w:name w:val="无间隔 Char"/>
    <w:link w:val="225"/>
    <w:qFormat/>
    <w:uiPriority w:val="0"/>
    <w:rPr>
      <w:sz w:val="22"/>
      <w:szCs w:val="22"/>
      <w:lang w:val="en-US" w:eastAsia="zh-CN" w:bidi="ar-SA"/>
    </w:rPr>
  </w:style>
  <w:style w:type="paragraph" w:customStyle="1" w:styleId="225">
    <w:name w:val="No Spacing1"/>
    <w:link w:val="224"/>
    <w:qFormat/>
    <w:uiPriority w:val="0"/>
    <w:rPr>
      <w:rFonts w:ascii="Times New Roman" w:hAnsi="Times New Roman" w:eastAsia="宋体" w:cs="Times New Roman"/>
      <w:sz w:val="22"/>
      <w:szCs w:val="22"/>
      <w:lang w:val="en-US" w:eastAsia="zh-CN" w:bidi="ar-SA"/>
    </w:rPr>
  </w:style>
  <w:style w:type="character" w:customStyle="1" w:styleId="226">
    <w:name w:val="Style4"/>
    <w:qFormat/>
    <w:uiPriority w:val="0"/>
    <w:rPr>
      <w:rFonts w:ascii="Calibri" w:hAnsi="宋体" w:eastAsia="宋体" w:cs="Times New Roman"/>
      <w:szCs w:val="22"/>
      <w:lang w:eastAsia="zh-CN"/>
    </w:rPr>
  </w:style>
  <w:style w:type="character" w:customStyle="1" w:styleId="227">
    <w:name w:val="正文文本 3 Char"/>
    <w:basedOn w:val="50"/>
    <w:link w:val="22"/>
    <w:qFormat/>
    <w:uiPriority w:val="0"/>
  </w:style>
  <w:style w:type="character" w:customStyle="1" w:styleId="228">
    <w:name w:val="Char Char Char Char Char Char Char Char Char"/>
    <w:qFormat/>
    <w:uiPriority w:val="0"/>
    <w:rPr>
      <w:rFonts w:ascii="宋体" w:hAnsi="Courier New" w:eastAsia="宋体"/>
      <w:b/>
      <w:sz w:val="21"/>
      <w:szCs w:val="21"/>
      <w:lang w:val="en-US" w:eastAsia="zh-CN" w:bidi="ar-SA"/>
    </w:rPr>
  </w:style>
  <w:style w:type="character" w:customStyle="1" w:styleId="229">
    <w:name w:val="标题 7 Char"/>
    <w:link w:val="8"/>
    <w:qFormat/>
    <w:uiPriority w:val="0"/>
    <w:rPr>
      <w:rFonts w:ascii="Arial" w:hAnsi="Arial" w:eastAsia="黑体"/>
      <w:b/>
      <w:sz w:val="21"/>
      <w:szCs w:val="21"/>
    </w:rPr>
  </w:style>
  <w:style w:type="character" w:customStyle="1" w:styleId="230">
    <w:name w:val="标题 2 Char1"/>
    <w:link w:val="3"/>
    <w:qFormat/>
    <w:uiPriority w:val="0"/>
    <w:rPr>
      <w:rFonts w:ascii="Arial" w:hAnsi="Arial" w:eastAsia="黑体"/>
      <w:b/>
      <w:bCs/>
      <w:kern w:val="2"/>
      <w:sz w:val="32"/>
      <w:szCs w:val="32"/>
    </w:rPr>
  </w:style>
  <w:style w:type="character" w:customStyle="1" w:styleId="231">
    <w:name w:val="明显引用 Char1"/>
    <w:qFormat/>
    <w:uiPriority w:val="99"/>
    <w:rPr>
      <w:rFonts w:ascii="Tahoma" w:hAnsi="Tahoma"/>
      <w:b/>
      <w:bCs/>
      <w:i/>
      <w:iCs/>
      <w:color w:val="4F81BD"/>
      <w:kern w:val="2"/>
      <w:sz w:val="21"/>
      <w:szCs w:val="24"/>
    </w:rPr>
  </w:style>
  <w:style w:type="character" w:customStyle="1" w:styleId="232">
    <w:name w:val="heading 4 Char2"/>
    <w:qFormat/>
    <w:uiPriority w:val="0"/>
    <w:rPr>
      <w:rFonts w:ascii="Cambria" w:hAnsi="Cambria" w:eastAsia="仿宋_GB2312"/>
      <w:b/>
      <w:bCs/>
      <w:kern w:val="2"/>
      <w:sz w:val="28"/>
      <w:szCs w:val="28"/>
    </w:rPr>
  </w:style>
  <w:style w:type="character" w:customStyle="1" w:styleId="233">
    <w:name w:val="标题 1 Char"/>
    <w:qFormat/>
    <w:uiPriority w:val="0"/>
    <w:rPr>
      <w:rFonts w:eastAsia="宋体"/>
      <w:b/>
      <w:bCs/>
      <w:kern w:val="44"/>
      <w:sz w:val="44"/>
      <w:szCs w:val="44"/>
      <w:lang w:val="en-US" w:eastAsia="zh-CN" w:bidi="ar-SA"/>
    </w:rPr>
  </w:style>
  <w:style w:type="character" w:customStyle="1" w:styleId="234">
    <w:name w:val="标书标题 3 Char Char Char"/>
    <w:link w:val="235"/>
    <w:qFormat/>
    <w:uiPriority w:val="0"/>
    <w:rPr>
      <w:rFonts w:ascii="Arial" w:hAnsi="Arial" w:eastAsia="仿宋_GB2312"/>
      <w:b/>
      <w:kern w:val="2"/>
      <w:sz w:val="24"/>
      <w:szCs w:val="32"/>
    </w:rPr>
  </w:style>
  <w:style w:type="paragraph" w:customStyle="1" w:styleId="235">
    <w:name w:val="标书标题 3 Char"/>
    <w:basedOn w:val="1"/>
    <w:link w:val="234"/>
    <w:qFormat/>
    <w:uiPriority w:val="0"/>
    <w:pPr>
      <w:numPr>
        <w:ilvl w:val="2"/>
        <w:numId w:val="2"/>
      </w:numPr>
      <w:tabs>
        <w:tab w:val="left" w:pos="720"/>
        <w:tab w:val="clear" w:pos="360"/>
      </w:tabs>
      <w:spacing w:line="360" w:lineRule="auto"/>
      <w:outlineLvl w:val="2"/>
    </w:pPr>
    <w:rPr>
      <w:rFonts w:ascii="Arial" w:hAnsi="Arial" w:eastAsia="仿宋_GB2312"/>
      <w:b/>
      <w:sz w:val="24"/>
      <w:szCs w:val="32"/>
    </w:rPr>
  </w:style>
  <w:style w:type="character" w:customStyle="1" w:styleId="236">
    <w:name w:val="文档结构图 Char1"/>
    <w:link w:val="20"/>
    <w:qFormat/>
    <w:uiPriority w:val="0"/>
    <w:rPr>
      <w:kern w:val="2"/>
      <w:sz w:val="21"/>
      <w:szCs w:val="24"/>
      <w:shd w:val="clear" w:color="auto" w:fill="000080"/>
    </w:rPr>
  </w:style>
  <w:style w:type="character" w:customStyle="1" w:styleId="237">
    <w:name w:val="Char Char Char1"/>
    <w:qFormat/>
    <w:uiPriority w:val="0"/>
    <w:rPr>
      <w:rFonts w:ascii="宋体" w:hAnsi="Courier New" w:eastAsia="仿宋_GB2312"/>
      <w:b/>
      <w:sz w:val="21"/>
      <w:szCs w:val="21"/>
    </w:rPr>
  </w:style>
  <w:style w:type="character" w:customStyle="1" w:styleId="238">
    <w:name w:val="heading 4 Char1"/>
    <w:uiPriority w:val="0"/>
    <w:rPr>
      <w:rFonts w:ascii="Cambria" w:hAnsi="Cambria" w:eastAsia="宋体"/>
      <w:b/>
      <w:bCs/>
      <w:kern w:val="2"/>
      <w:sz w:val="28"/>
      <w:szCs w:val="28"/>
      <w:lang w:val="en-US" w:eastAsia="zh-CN" w:bidi="ar-SA"/>
    </w:rPr>
  </w:style>
  <w:style w:type="character" w:customStyle="1" w:styleId="239">
    <w:name w:val="red"/>
    <w:qFormat/>
    <w:uiPriority w:val="0"/>
    <w:rPr>
      <w:color w:val="FF0000"/>
      <w:szCs w:val="20"/>
    </w:rPr>
  </w:style>
  <w:style w:type="character" w:customStyle="1" w:styleId="240">
    <w:name w:val="PI Char"/>
    <w:qFormat/>
    <w:uiPriority w:val="0"/>
    <w:rPr>
      <w:rFonts w:ascii="宋体" w:hAnsi="宋体" w:eastAsia="仿宋_GB2312"/>
      <w:b/>
      <w:sz w:val="24"/>
      <w:szCs w:val="32"/>
    </w:rPr>
  </w:style>
  <w:style w:type="paragraph" w:customStyle="1" w:styleId="241">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42">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243">
    <w:name w:val=" Char1 Char Char Char Char"/>
    <w:basedOn w:val="20"/>
    <w:qFormat/>
    <w:uiPriority w:val="0"/>
    <w:rPr>
      <w:rFonts w:ascii="Tahoma" w:hAnsi="Tahoma" w:cs="Tahoma"/>
      <w:kern w:val="0"/>
      <w:sz w:val="18"/>
    </w:rPr>
  </w:style>
  <w:style w:type="paragraph" w:customStyle="1" w:styleId="244">
    <w:name w:val=" Char Char Char Char Char Char Char Char Char1 Char"/>
    <w:basedOn w:val="1"/>
    <w:qFormat/>
    <w:uiPriority w:val="0"/>
  </w:style>
  <w:style w:type="paragraph" w:customStyle="1" w:styleId="245">
    <w:name w:val="_Style 25"/>
    <w:basedOn w:val="1"/>
    <w:qFormat/>
    <w:uiPriority w:val="0"/>
  </w:style>
  <w:style w:type="paragraph" w:customStyle="1" w:styleId="246">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4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4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1">
    <w:name w:val="Revision"/>
    <w:qFormat/>
    <w:uiPriority w:val="0"/>
    <w:rPr>
      <w:rFonts w:ascii="Times New Roman" w:hAnsi="Times New Roman" w:eastAsia="宋体" w:cs="Times New Roman"/>
      <w:kern w:val="2"/>
      <w:sz w:val="21"/>
      <w:szCs w:val="24"/>
      <w:lang w:val="en-US" w:eastAsia="zh-CN" w:bidi="ar-SA"/>
    </w:rPr>
  </w:style>
  <w:style w:type="paragraph" w:customStyle="1" w:styleId="252">
    <w:name w:val="Normal Indent1"/>
    <w:basedOn w:val="1"/>
    <w:qFormat/>
    <w:uiPriority w:val="0"/>
    <w:pPr>
      <w:ind w:firstLine="420"/>
    </w:pPr>
    <w:rPr>
      <w:szCs w:val="20"/>
    </w:rPr>
  </w:style>
  <w:style w:type="paragraph" w:customStyle="1" w:styleId="25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5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56">
    <w:name w:val="样式 标题 1 + 黑体 三号 非加粗 居中 段前: 6 磅 段后: 6 磅 行距: 固定值 20 磅"/>
    <w:basedOn w:val="2"/>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257">
    <w:name w:val="1"/>
    <w:basedOn w:val="1"/>
    <w:qFormat/>
    <w:uiPriority w:val="0"/>
  </w:style>
  <w:style w:type="paragraph" w:customStyle="1" w:styleId="258">
    <w:name w:val="样式 标题 3h33rd level3Heading 3 - old + 居中 左侧:  9.8 毫米 首行缩进: ...1"/>
    <w:basedOn w:val="4"/>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259">
    <w:name w:val="保留正文"/>
    <w:basedOn w:val="15"/>
    <w:qFormat/>
    <w:uiPriority w:val="0"/>
    <w:pPr>
      <w:keepNext/>
      <w:spacing w:after="160"/>
    </w:pPr>
    <w:rPr>
      <w:rFonts w:ascii="仿宋_GB2312"/>
      <w:b/>
    </w:rPr>
  </w:style>
  <w:style w:type="paragraph" w:customStyle="1" w:styleId="26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6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3">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64">
    <w:name w:val="四级条标题"/>
    <w:basedOn w:val="265"/>
    <w:next w:val="1"/>
    <w:qFormat/>
    <w:uiPriority w:val="0"/>
    <w:pPr>
      <w:numPr>
        <w:ilvl w:val="5"/>
      </w:numPr>
      <w:tabs>
        <w:tab w:val="left" w:pos="360"/>
      </w:tabs>
      <w:outlineLvl w:val="5"/>
    </w:pPr>
  </w:style>
  <w:style w:type="paragraph" w:customStyle="1" w:styleId="265">
    <w:name w:val="三级条标题"/>
    <w:basedOn w:val="266"/>
    <w:next w:val="1"/>
    <w:qFormat/>
    <w:uiPriority w:val="0"/>
    <w:pPr>
      <w:numPr>
        <w:ilvl w:val="4"/>
      </w:numPr>
      <w:tabs>
        <w:tab w:val="left" w:pos="360"/>
      </w:tabs>
      <w:outlineLvl w:val="4"/>
    </w:pPr>
  </w:style>
  <w:style w:type="paragraph" w:customStyle="1" w:styleId="266">
    <w:name w:val="二级条标题"/>
    <w:basedOn w:val="267"/>
    <w:next w:val="1"/>
    <w:qFormat/>
    <w:uiPriority w:val="0"/>
    <w:pPr>
      <w:numPr>
        <w:ilvl w:val="3"/>
      </w:numPr>
      <w:tabs>
        <w:tab w:val="left" w:pos="360"/>
      </w:tabs>
      <w:outlineLvl w:val="3"/>
    </w:pPr>
  </w:style>
  <w:style w:type="paragraph" w:customStyle="1" w:styleId="267">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268">
    <w:name w:val="列出段落1"/>
    <w:basedOn w:val="1"/>
    <w:qFormat/>
    <w:uiPriority w:val="0"/>
    <w:pPr>
      <w:ind w:firstLine="420" w:firstLineChars="200"/>
    </w:pPr>
    <w:rPr>
      <w:szCs w:val="20"/>
    </w:rPr>
  </w:style>
  <w:style w:type="paragraph" w:customStyle="1" w:styleId="269">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70">
    <w:name w:val="内文正文"/>
    <w:basedOn w:val="28"/>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27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72">
    <w:name w:val="样式1"/>
    <w:basedOn w:val="1"/>
    <w:next w:val="5"/>
    <w:qFormat/>
    <w:uiPriority w:val="0"/>
    <w:pPr>
      <w:spacing w:line="360" w:lineRule="auto"/>
      <w:ind w:firstLine="420" w:firstLineChars="200"/>
    </w:pPr>
    <w:rPr>
      <w:rFonts w:ascii="宋体" w:hAnsi="宋体"/>
      <w:szCs w:val="21"/>
    </w:rPr>
  </w:style>
  <w:style w:type="paragraph" w:customStyle="1" w:styleId="273">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74">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5">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76">
    <w:name w:val="Char"/>
    <w:basedOn w:val="1"/>
    <w:qFormat/>
    <w:uiPriority w:val="0"/>
    <w:pPr>
      <w:widowControl/>
      <w:spacing w:line="400" w:lineRule="exact"/>
      <w:jc w:val="center"/>
    </w:pPr>
    <w:rPr>
      <w:rFonts w:ascii="Verdana" w:hAnsi="Verdana"/>
      <w:kern w:val="0"/>
      <w:szCs w:val="20"/>
      <w:lang w:eastAsia="en-US"/>
    </w:rPr>
  </w:style>
  <w:style w:type="paragraph" w:customStyle="1" w:styleId="277">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278">
    <w:name w:val="正文字缩2字"/>
    <w:basedOn w:val="1"/>
    <w:qFormat/>
    <w:uiPriority w:val="0"/>
    <w:pPr>
      <w:spacing w:before="60" w:after="60" w:line="360" w:lineRule="auto"/>
      <w:ind w:left="200" w:leftChars="200" w:firstLine="200" w:firstLineChars="200"/>
    </w:pPr>
    <w:rPr>
      <w:sz w:val="24"/>
    </w:rPr>
  </w:style>
  <w:style w:type="paragraph" w:customStyle="1" w:styleId="279">
    <w:name w:val="样式 四号 首行缩进:  1 厘米"/>
    <w:basedOn w:val="1"/>
    <w:qFormat/>
    <w:uiPriority w:val="0"/>
    <w:pPr>
      <w:spacing w:line="440" w:lineRule="exact"/>
      <w:ind w:firstLine="567"/>
    </w:pPr>
    <w:rPr>
      <w:rFonts w:cs="宋体"/>
      <w:sz w:val="28"/>
      <w:szCs w:val="20"/>
    </w:rPr>
  </w:style>
  <w:style w:type="paragraph" w:customStyle="1" w:styleId="280">
    <w:name w:val=" Char Char Char"/>
    <w:basedOn w:val="1"/>
    <w:next w:val="1"/>
    <w:qFormat/>
    <w:uiPriority w:val="0"/>
    <w:pPr>
      <w:shd w:val="clear" w:color="auto" w:fill="000080"/>
    </w:pPr>
    <w:rPr>
      <w:rFonts w:ascii="Tahoma" w:hAnsi="Tahoma"/>
      <w:sz w:val="24"/>
    </w:rPr>
  </w:style>
  <w:style w:type="paragraph" w:customStyle="1" w:styleId="281">
    <w:name w:val="样式 标题 3 + 黑色 段前: 5 磅 段后: 5 磅 行距: 1.5 倍行距"/>
    <w:basedOn w:val="1"/>
    <w:qFormat/>
    <w:uiPriority w:val="0"/>
    <w:pPr>
      <w:ind w:left="855" w:hanging="855"/>
    </w:pPr>
    <w:rPr>
      <w:sz w:val="24"/>
      <w:szCs w:val="20"/>
    </w:rPr>
  </w:style>
  <w:style w:type="paragraph" w:customStyle="1" w:styleId="282">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83">
    <w:name w:val="文字"/>
    <w:basedOn w:val="1"/>
    <w:qFormat/>
    <w:uiPriority w:val="0"/>
    <w:pPr>
      <w:tabs>
        <w:tab w:val="left" w:pos="8520"/>
      </w:tabs>
      <w:spacing w:line="312" w:lineRule="auto"/>
      <w:ind w:right="-210" w:firstLine="556"/>
    </w:pPr>
    <w:rPr>
      <w:rFonts w:ascii="宋体"/>
      <w:sz w:val="28"/>
      <w:szCs w:val="20"/>
    </w:rPr>
  </w:style>
  <w:style w:type="paragraph" w:customStyle="1" w:styleId="28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6">
    <w:name w:val="样式 标题 1Level 1Level 11h1II+IHeading1H1-Heading 1Header 1..."/>
    <w:basedOn w:val="2"/>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287">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289">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9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1">
    <w:name w:val="Char1 Char Char Char Char"/>
    <w:basedOn w:val="20"/>
    <w:qFormat/>
    <w:uiPriority w:val="0"/>
    <w:rPr>
      <w:rFonts w:ascii="Tahoma" w:hAnsi="Tahoma" w:cs="Tahoma"/>
      <w:kern w:val="0"/>
      <w:sz w:val="18"/>
    </w:rPr>
  </w:style>
  <w:style w:type="paragraph" w:customStyle="1" w:styleId="292">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9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96">
    <w:name w:val="Char Char Char Char1"/>
    <w:basedOn w:val="1"/>
    <w:qFormat/>
    <w:uiPriority w:val="0"/>
    <w:rPr>
      <w:rFonts w:ascii="Tahoma" w:hAnsi="Tahoma"/>
      <w:sz w:val="24"/>
      <w:szCs w:val="20"/>
    </w:rPr>
  </w:style>
  <w:style w:type="paragraph" w:customStyle="1" w:styleId="29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99">
    <w:name w:val=" Char Char Char Char Char Char Char Char Char Char Char Char Char"/>
    <w:basedOn w:val="1"/>
    <w:qFormat/>
    <w:uiPriority w:val="0"/>
  </w:style>
  <w:style w:type="paragraph" w:customStyle="1" w:styleId="300">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0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2">
    <w:name w:val="Char Char Char Char Char Char"/>
    <w:basedOn w:val="1"/>
    <w:qFormat/>
    <w:uiPriority w:val="0"/>
    <w:rPr>
      <w:rFonts w:ascii="Tahoma" w:hAnsi="Tahoma"/>
      <w:sz w:val="24"/>
      <w:szCs w:val="20"/>
    </w:rPr>
  </w:style>
  <w:style w:type="paragraph" w:customStyle="1" w:styleId="3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04">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305">
    <w:name w:val="Char Char"/>
    <w:basedOn w:val="1"/>
    <w:qFormat/>
    <w:uiPriority w:val="0"/>
    <w:rPr>
      <w:rFonts w:ascii="仿宋_GB2312" w:eastAsia="仿宋_GB2312"/>
      <w:b/>
      <w:sz w:val="32"/>
      <w:szCs w:val="32"/>
    </w:rPr>
  </w:style>
  <w:style w:type="paragraph" w:customStyle="1" w:styleId="306">
    <w:name w:val="表格文字"/>
    <w:basedOn w:val="1"/>
    <w:qFormat/>
    <w:uiPriority w:val="0"/>
    <w:pPr>
      <w:spacing w:line="420" w:lineRule="atLeast"/>
      <w:jc w:val="left"/>
    </w:pPr>
    <w:rPr>
      <w:szCs w:val="20"/>
    </w:rPr>
  </w:style>
  <w:style w:type="paragraph" w:customStyle="1" w:styleId="307">
    <w:name w:val="1 Char"/>
    <w:qFormat/>
    <w:uiPriority w:val="0"/>
    <w:pPr>
      <w:adjustRightInd/>
      <w:spacing w:line="360" w:lineRule="auto"/>
      <w:ind w:firstLine="200" w:firstLineChars="200"/>
      <w:textAlignment w:val="auto"/>
    </w:pPr>
    <w:rPr>
      <w:rFonts w:ascii="仿宋_GB2312" w:hAnsi="Times New Roman" w:eastAsia="宋体" w:cs="Times New Roman"/>
      <w:b/>
      <w:kern w:val="2"/>
      <w:szCs w:val="32"/>
      <w:lang w:val="en-US" w:eastAsia="zh-CN" w:bidi="ar-SA"/>
    </w:rPr>
  </w:style>
  <w:style w:type="paragraph" w:customStyle="1" w:styleId="308">
    <w:name w:val="五级条标题"/>
    <w:basedOn w:val="264"/>
    <w:next w:val="1"/>
    <w:qFormat/>
    <w:uiPriority w:val="0"/>
    <w:pPr>
      <w:numPr>
        <w:ilvl w:val="6"/>
      </w:numPr>
      <w:outlineLvl w:val="6"/>
    </w:pPr>
  </w:style>
  <w:style w:type="paragraph" w:customStyle="1" w:styleId="30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10">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1">
    <w:name w:val="正文段"/>
    <w:basedOn w:val="1"/>
    <w:qFormat/>
    <w:uiPriority w:val="0"/>
    <w:pPr>
      <w:widowControl/>
      <w:snapToGrid w:val="0"/>
      <w:spacing w:afterLines="50"/>
      <w:ind w:firstLine="200" w:firstLineChars="200"/>
    </w:pPr>
    <w:rPr>
      <w:kern w:val="0"/>
      <w:sz w:val="24"/>
      <w:szCs w:val="20"/>
    </w:rPr>
  </w:style>
  <w:style w:type="paragraph" w:customStyle="1" w:styleId="312">
    <w:name w:val="blockquote"/>
    <w:basedOn w:val="1"/>
    <w:qFormat/>
    <w:uiPriority w:val="0"/>
    <w:pPr>
      <w:widowControl/>
      <w:spacing w:before="100" w:beforeAutospacing="1" w:after="100" w:afterAutospacing="1"/>
      <w:jc w:val="left"/>
    </w:pPr>
    <w:rPr>
      <w:rFonts w:ascii="宋体" w:hAnsi="宋体"/>
    </w:rPr>
  </w:style>
  <w:style w:type="paragraph" w:customStyle="1" w:styleId="313">
    <w:name w:val="正文2"/>
    <w:basedOn w:val="1"/>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1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15">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18">
    <w:name w:val="List Paragraph"/>
    <w:basedOn w:val="1"/>
    <w:qFormat/>
    <w:uiPriority w:val="0"/>
    <w:pPr>
      <w:ind w:firstLine="420" w:firstLineChars="200"/>
    </w:pPr>
  </w:style>
  <w:style w:type="paragraph" w:customStyle="1" w:styleId="31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20">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3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2">
    <w:name w:val="样式 标题 3 + (中文) 黑体 小四 非加粗 段前: 7.8 磅 段后: 0 磅 行距: 固定值 20 磅"/>
    <w:basedOn w:val="4"/>
    <w:qFormat/>
    <w:uiPriority w:val="0"/>
    <w:pPr>
      <w:spacing w:before="0" w:after="0" w:line="400" w:lineRule="exact"/>
    </w:pPr>
    <w:rPr>
      <w:rFonts w:ascii="仿宋_GB2312" w:eastAsia="黑体" w:cs="宋体"/>
      <w:b w:val="0"/>
      <w:bCs w:val="0"/>
      <w:sz w:val="24"/>
      <w:szCs w:val="20"/>
    </w:rPr>
  </w:style>
  <w:style w:type="paragraph" w:customStyle="1" w:styleId="323">
    <w:name w:val="Revision1"/>
    <w:qFormat/>
    <w:uiPriority w:val="0"/>
    <w:rPr>
      <w:rFonts w:ascii="Times New Roman" w:hAnsi="Times New Roman" w:eastAsia="宋体" w:cs="Times New Roman"/>
      <w:kern w:val="2"/>
      <w:sz w:val="21"/>
      <w:szCs w:val="24"/>
      <w:lang w:val="en-US" w:eastAsia="zh-CN" w:bidi="ar-SA"/>
    </w:rPr>
  </w:style>
  <w:style w:type="paragraph" w:customStyle="1" w:styleId="324">
    <w:name w:val="正文文字表格居中"/>
    <w:basedOn w:val="1"/>
    <w:next w:val="45"/>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25">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6">
    <w:name w:val="正文文本 21"/>
    <w:basedOn w:val="1"/>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327">
    <w:name w:val="Char1 Char Char Char"/>
    <w:basedOn w:val="1"/>
    <w:qFormat/>
    <w:uiPriority w:val="0"/>
    <w:rPr>
      <w:szCs w:val="20"/>
    </w:rPr>
  </w:style>
  <w:style w:type="paragraph" w:customStyle="1" w:styleId="328">
    <w:name w:val="样式5"/>
    <w:qFormat/>
    <w:uiPriority w:val="0"/>
    <w:pPr>
      <w:adjustRightInd/>
      <w:spacing w:line="360" w:lineRule="auto"/>
      <w:ind w:firstLine="200" w:firstLineChars="200"/>
      <w:textAlignment w:val="auto"/>
    </w:pPr>
    <w:rPr>
      <w:rFonts w:ascii="仿宋_GB2312" w:hAnsi="Times New Roman" w:eastAsia="宋体" w:cs="Times New Roman"/>
      <w:b/>
      <w:kern w:val="2"/>
      <w:sz w:val="28"/>
      <w:szCs w:val="21"/>
      <w:lang w:val="en-US" w:eastAsia="zh-CN" w:bidi="ar-SA"/>
    </w:rPr>
  </w:style>
  <w:style w:type="paragraph" w:customStyle="1" w:styleId="329">
    <w:name w:val="正文（首行缩进）"/>
    <w:basedOn w:val="23"/>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330">
    <w:name w:val="Test2"/>
    <w:basedOn w:val="3"/>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331">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332">
    <w:name w:val="TOC Heading"/>
    <w:basedOn w:val="2"/>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33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334">
    <w:name w:val="简单回函地址"/>
    <w:basedOn w:val="1"/>
    <w:qFormat/>
    <w:uiPriority w:val="0"/>
  </w:style>
  <w:style w:type="paragraph" w:customStyle="1" w:styleId="335">
    <w:name w:val="样式 标题 3 + 黑体 小四 非加粗"/>
    <w:basedOn w:val="4"/>
    <w:qFormat/>
    <w:uiPriority w:val="0"/>
    <w:pPr>
      <w:spacing w:line="413" w:lineRule="auto"/>
    </w:pPr>
    <w:rPr>
      <w:rFonts w:ascii="黑体" w:hAnsi="黑体" w:eastAsia="黑体"/>
      <w:b w:val="0"/>
      <w:bCs w:val="0"/>
      <w:kern w:val="0"/>
      <w:sz w:val="24"/>
    </w:rPr>
  </w:style>
  <w:style w:type="paragraph" w:customStyle="1" w:styleId="336">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37">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3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3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341">
    <w:name w:val="Plain Text"/>
    <w:basedOn w:val="1"/>
    <w:qFormat/>
    <w:uiPriority w:val="0"/>
    <w:pPr>
      <w:adjustRightInd w:val="0"/>
      <w:snapToGrid w:val="0"/>
      <w:spacing w:line="288" w:lineRule="auto"/>
      <w:ind w:firstLine="200" w:firstLineChars="200"/>
    </w:pPr>
    <w:rPr>
      <w:rFonts w:ascii="宋体" w:hAnsi="Courier New"/>
    </w:rPr>
  </w:style>
  <w:style w:type="paragraph" w:customStyle="1" w:styleId="342">
    <w:name w:val="Char1"/>
    <w:basedOn w:val="1"/>
    <w:qFormat/>
    <w:uiPriority w:val="0"/>
    <w:pPr>
      <w:autoSpaceDE w:val="0"/>
      <w:autoSpaceDN w:val="0"/>
      <w:adjustRightInd w:val="0"/>
      <w:jc w:val="left"/>
    </w:pPr>
    <w:rPr>
      <w:rFonts w:ascii="仿宋_GB2312" w:eastAsia="仿宋_GB2312"/>
      <w:b/>
      <w:kern w:val="0"/>
      <w:sz w:val="32"/>
      <w:szCs w:val="32"/>
    </w:rPr>
  </w:style>
  <w:style w:type="paragraph" w:customStyle="1" w:styleId="34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5">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46">
    <w:name w:val=" 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34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8">
    <w:name w:val="正文－恩普"/>
    <w:qFormat/>
    <w:uiPriority w:val="0"/>
    <w:pPr>
      <w:adjustRightInd/>
      <w:spacing w:line="360" w:lineRule="auto"/>
      <w:ind w:firstLine="200" w:firstLineChars="200"/>
      <w:textAlignment w:val="auto"/>
    </w:pPr>
    <w:rPr>
      <w:rFonts w:ascii="仿宋_GB2312" w:hAnsi="Times New Roman" w:eastAsia="宋体" w:cs="Times New Roman"/>
      <w:b/>
      <w:kern w:val="2"/>
      <w:sz w:val="24"/>
      <w:szCs w:val="24"/>
      <w:lang w:val="en-US" w:eastAsia="zh-CN" w:bidi="ar-SA"/>
    </w:rPr>
  </w:style>
  <w:style w:type="paragraph" w:customStyle="1" w:styleId="3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5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54">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55">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3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57">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58">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59">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360">
    <w:name w:val=" Char Char Char Char1"/>
    <w:basedOn w:val="1"/>
    <w:qFormat/>
    <w:uiPriority w:val="0"/>
    <w:rPr>
      <w:szCs w:val="20"/>
    </w:rPr>
  </w:style>
  <w:style w:type="paragraph" w:customStyle="1" w:styleId="3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2">
    <w:name w:val="正文 首行缩进:  2 字符 Char"/>
    <w:basedOn w:val="1"/>
    <w:qFormat/>
    <w:uiPriority w:val="0"/>
    <w:pPr>
      <w:spacing w:line="360" w:lineRule="auto"/>
      <w:ind w:firstLine="480"/>
    </w:pPr>
    <w:rPr>
      <w:rFonts w:cs="宋体"/>
      <w:sz w:val="24"/>
      <w:szCs w:val="20"/>
    </w:rPr>
  </w:style>
  <w:style w:type="paragraph" w:customStyle="1" w:styleId="363">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64">
    <w:name w:val="招标文件－标准正文"/>
    <w:basedOn w:val="28"/>
    <w:qFormat/>
    <w:uiPriority w:val="0"/>
    <w:pPr>
      <w:spacing w:line="360" w:lineRule="auto"/>
    </w:pPr>
    <w:rPr>
      <w:rFonts w:ascii="Times New Roman" w:hAnsi="Times New Roman" w:cs="宋体"/>
      <w:color w:val="000000"/>
      <w:sz w:val="24"/>
    </w:rPr>
  </w:style>
  <w:style w:type="paragraph" w:customStyle="1" w:styleId="365">
    <w:name w:val=" Char1 Char Char Char"/>
    <w:basedOn w:val="1"/>
    <w:qFormat/>
    <w:uiPriority w:val="0"/>
    <w:pPr>
      <w:widowControl/>
      <w:spacing w:after="120"/>
      <w:jc w:val="left"/>
    </w:pPr>
    <w:rPr>
      <w:rFonts w:ascii="Verdana" w:hAnsi="Verdana" w:eastAsia="仿宋_GB2312"/>
      <w:szCs w:val="20"/>
      <w:lang w:eastAsia="en-US"/>
    </w:rPr>
  </w:style>
  <w:style w:type="paragraph" w:customStyle="1" w:styleId="366">
    <w:name w:val="Char Char Char Char Char Char Char"/>
    <w:basedOn w:val="1"/>
    <w:qFormat/>
    <w:uiPriority w:val="0"/>
    <w:pPr>
      <w:widowControl/>
      <w:spacing w:after="160" w:line="240" w:lineRule="exact"/>
      <w:jc w:val="left"/>
    </w:pPr>
    <w:rPr>
      <w:szCs w:val="20"/>
    </w:rPr>
  </w:style>
  <w:style w:type="paragraph" w:customStyle="1" w:styleId="367">
    <w:name w:val="_Style 33"/>
    <w:basedOn w:val="1"/>
    <w:qFormat/>
    <w:uiPriority w:val="0"/>
  </w:style>
  <w:style w:type="paragraph" w:customStyle="1" w:styleId="36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36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370">
    <w:name w:val="表内文字"/>
    <w:basedOn w:val="1"/>
    <w:qFormat/>
    <w:uiPriority w:val="0"/>
    <w:pPr>
      <w:spacing w:line="500" w:lineRule="atLeast"/>
      <w:jc w:val="center"/>
    </w:pPr>
    <w:rPr>
      <w:rFonts w:ascii="Arial" w:hAnsi="Arial" w:eastAsia="楷体_GB2312"/>
      <w:sz w:val="28"/>
    </w:rPr>
  </w:style>
  <w:style w:type="paragraph" w:customStyle="1" w:styleId="371">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72">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3">
    <w:name w:val="kpk:3级"/>
    <w:basedOn w:val="4"/>
    <w:qFormat/>
    <w:uiPriority w:val="0"/>
    <w:pPr>
      <w:tabs>
        <w:tab w:val="left" w:pos="420"/>
      </w:tabs>
      <w:spacing w:line="360" w:lineRule="auto"/>
      <w:ind w:left="420" w:hanging="420"/>
    </w:pPr>
    <w:rPr>
      <w:rFonts w:ascii="黑体" w:eastAsia="黑体"/>
    </w:rPr>
  </w:style>
  <w:style w:type="paragraph" w:customStyle="1" w:styleId="374">
    <w:name w:val=" Char Char Char Char Char Char Char Char Char Char Char Char Char Char"/>
    <w:basedOn w:val="1"/>
    <w:qFormat/>
    <w:uiPriority w:val="0"/>
    <w:pPr>
      <w:widowControl/>
      <w:spacing w:after="160" w:line="240" w:lineRule="exact"/>
      <w:jc w:val="left"/>
    </w:pPr>
    <w:rPr>
      <w:bCs/>
    </w:rPr>
  </w:style>
  <w:style w:type="paragraph" w:customStyle="1" w:styleId="375">
    <w:name w:val="List Paragraph1"/>
    <w:basedOn w:val="1"/>
    <w:qFormat/>
    <w:uiPriority w:val="0"/>
    <w:pPr>
      <w:ind w:firstLine="420" w:firstLineChars="200"/>
    </w:pPr>
  </w:style>
  <w:style w:type="paragraph" w:customStyle="1" w:styleId="376">
    <w:name w:val="普通 (Web)"/>
    <w:basedOn w:val="1"/>
    <w:qFormat/>
    <w:uiPriority w:val="0"/>
    <w:pPr>
      <w:widowControl/>
      <w:spacing w:before="100" w:after="100"/>
      <w:jc w:val="left"/>
    </w:pPr>
    <w:rPr>
      <w:rFonts w:ascii="宋体" w:hAnsi="宋体"/>
      <w:kern w:val="0"/>
      <w:sz w:val="24"/>
    </w:rPr>
  </w:style>
  <w:style w:type="paragraph" w:customStyle="1" w:styleId="377">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37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79">
    <w:name w:val="NICMAN Body Text"/>
    <w:basedOn w:val="1"/>
    <w:next w:val="15"/>
    <w:qFormat/>
    <w:uiPriority w:val="0"/>
    <w:pPr>
      <w:autoSpaceDE w:val="0"/>
      <w:autoSpaceDN w:val="0"/>
      <w:adjustRightInd w:val="0"/>
      <w:spacing w:after="120"/>
      <w:jc w:val="left"/>
    </w:pPr>
    <w:rPr>
      <w:kern w:val="0"/>
      <w:sz w:val="20"/>
      <w:szCs w:val="20"/>
    </w:rPr>
  </w:style>
  <w:style w:type="paragraph" w:customStyle="1" w:styleId="380">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381">
    <w:name w:val="Blockquote"/>
    <w:basedOn w:val="1"/>
    <w:qFormat/>
    <w:uiPriority w:val="0"/>
    <w:pPr>
      <w:autoSpaceDE w:val="0"/>
      <w:autoSpaceDN w:val="0"/>
      <w:spacing w:before="100" w:after="100"/>
      <w:ind w:left="360" w:right="360"/>
      <w:jc w:val="left"/>
    </w:pPr>
    <w:rPr>
      <w:szCs w:val="20"/>
    </w:rPr>
  </w:style>
  <w:style w:type="paragraph" w:customStyle="1" w:styleId="382">
    <w:name w:val="样式 标题 2 + 居中"/>
    <w:basedOn w:val="3"/>
    <w:qFormat/>
    <w:uiPriority w:val="0"/>
    <w:pPr>
      <w:spacing w:beforeLines="50" w:beforeAutospacing="1" w:afterLines="50" w:afterAutospacing="1" w:line="360" w:lineRule="auto"/>
      <w:jc w:val="center"/>
    </w:pPr>
    <w:rPr>
      <w:rFonts w:cs="宋体"/>
      <w:szCs w:val="20"/>
    </w:rPr>
  </w:style>
  <w:style w:type="paragraph" w:customStyle="1" w:styleId="383">
    <w:name w:val="CM106"/>
    <w:basedOn w:val="316"/>
    <w:next w:val="316"/>
    <w:qFormat/>
    <w:uiPriority w:val="0"/>
    <w:rPr>
      <w:rFonts w:cs="Times New Roman"/>
      <w:color w:val="auto"/>
    </w:rPr>
  </w:style>
  <w:style w:type="paragraph" w:customStyle="1" w:styleId="384">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385">
    <w:name w:val="Char Char Char Char Char Char Char Char Char Char Char Char Char"/>
    <w:basedOn w:val="1"/>
    <w:qFormat/>
    <w:uiPriority w:val="0"/>
    <w:rPr>
      <w:rFonts w:ascii="Tahoma" w:hAnsi="Tahoma"/>
      <w:sz w:val="24"/>
      <w:szCs w:val="20"/>
    </w:rPr>
  </w:style>
  <w:style w:type="paragraph" w:customStyle="1" w:styleId="386">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87">
    <w:name w:val=" Char"/>
    <w:basedOn w:val="1"/>
    <w:qFormat/>
    <w:uiPriority w:val="0"/>
    <w:rPr>
      <w:rFonts w:ascii="Tahoma" w:hAnsi="Tahoma"/>
      <w:sz w:val="24"/>
      <w:szCs w:val="20"/>
    </w:rPr>
  </w:style>
  <w:style w:type="paragraph" w:customStyle="1" w:styleId="388">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cs="宋体"/>
      <w:b w:val="0"/>
      <w:bCs w:val="0"/>
      <w:sz w:val="28"/>
      <w:szCs w:val="20"/>
    </w:rPr>
  </w:style>
  <w:style w:type="paragraph" w:customStyle="1" w:styleId="389">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1">
    <w:name w:val="文档正文"/>
    <w:basedOn w:val="1"/>
    <w:qFormat/>
    <w:uiPriority w:val="0"/>
    <w:pPr>
      <w:adjustRightInd w:val="0"/>
      <w:spacing w:line="300" w:lineRule="auto"/>
      <w:ind w:firstLine="567"/>
      <w:textAlignment w:val="baseline"/>
    </w:pPr>
    <w:rPr>
      <w:kern w:val="0"/>
      <w:sz w:val="24"/>
      <w:szCs w:val="20"/>
    </w:rPr>
  </w:style>
  <w:style w:type="paragraph" w:customStyle="1" w:styleId="392">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393">
    <w:name w:val="Pa5"/>
    <w:basedOn w:val="316"/>
    <w:next w:val="316"/>
    <w:qFormat/>
    <w:uiPriority w:val="0"/>
    <w:pPr>
      <w:spacing w:after="60" w:line="161" w:lineRule="atLeast"/>
    </w:pPr>
    <w:rPr>
      <w:rFonts w:ascii="Univers LT Std 57 Cn" w:hAnsi="Univers LT Std 57 Cn"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5207</Words>
  <Characters>29685</Characters>
  <Lines>247</Lines>
  <Paragraphs>69</Paragraphs>
  <TotalTime>0</TotalTime>
  <ScaleCrop>false</ScaleCrop>
  <LinksUpToDate>false</LinksUpToDate>
  <CharactersWithSpaces>34823</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2018-09-13T09:22:00Z</dcterms:created>
  <dc:creator>can</dc:creator>
  <cp:lastModifiedBy>浙江省成套招标代理有限公司</cp:lastModifiedBy>
  <cp:lastPrinted>2018-04-04T01:14:00Z</cp:lastPrinted>
  <dcterms:modified xsi:type="dcterms:W3CDTF">2018-09-28T02:51:39Z</dcterms:modified>
  <dc:title>温州市政府集中采购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